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4CD3F" w14:textId="77777777" w:rsidR="00161C10" w:rsidRDefault="00CE2C8C">
      <w:pPr>
        <w:pStyle w:val="BodyText"/>
        <w:ind w:left="8000"/>
        <w:rPr>
          <w:rFonts w:ascii="Times New Roman"/>
          <w:sz w:val="20"/>
        </w:rPr>
      </w:pPr>
      <w:r>
        <w:rPr>
          <w:rFonts w:ascii="Times New Roman"/>
          <w:noProof/>
          <w:sz w:val="20"/>
        </w:rPr>
        <w:drawing>
          <wp:inline distT="0" distB="0" distL="0" distR="0" wp14:anchorId="534796BB" wp14:editId="7C6E5A9F">
            <wp:extent cx="1089825" cy="116585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89825" cy="1165859"/>
                    </a:xfrm>
                    <a:prstGeom prst="rect">
                      <a:avLst/>
                    </a:prstGeom>
                  </pic:spPr>
                </pic:pic>
              </a:graphicData>
            </a:graphic>
          </wp:inline>
        </w:drawing>
      </w:r>
    </w:p>
    <w:p w14:paraId="6512B81C" w14:textId="77777777" w:rsidR="00161C10" w:rsidRDefault="00CE2C8C">
      <w:pPr>
        <w:pStyle w:val="Title"/>
      </w:pPr>
      <w:r>
        <w:t>Update to the Shadow report on the implementation</w:t>
      </w:r>
      <w:r>
        <w:rPr>
          <w:spacing w:val="-7"/>
        </w:rPr>
        <w:t xml:space="preserve"> </w:t>
      </w:r>
      <w:r>
        <w:t>of</w:t>
      </w:r>
      <w:r>
        <w:rPr>
          <w:spacing w:val="-8"/>
        </w:rPr>
        <w:t xml:space="preserve"> </w:t>
      </w:r>
      <w:r>
        <w:t>the</w:t>
      </w:r>
      <w:r>
        <w:rPr>
          <w:spacing w:val="-7"/>
        </w:rPr>
        <w:t xml:space="preserve"> </w:t>
      </w:r>
      <w:r>
        <w:t>UN</w:t>
      </w:r>
      <w:r>
        <w:rPr>
          <w:spacing w:val="-8"/>
        </w:rPr>
        <w:t xml:space="preserve"> </w:t>
      </w:r>
      <w:r>
        <w:t>Convention</w:t>
      </w:r>
      <w:r>
        <w:rPr>
          <w:spacing w:val="-7"/>
        </w:rPr>
        <w:t xml:space="preserve"> </w:t>
      </w:r>
      <w:r>
        <w:t>on</w:t>
      </w:r>
      <w:r>
        <w:rPr>
          <w:spacing w:val="-7"/>
        </w:rPr>
        <w:t xml:space="preserve"> </w:t>
      </w:r>
      <w:r>
        <w:t>the Rights of Persons with Disabilities in the European Union</w:t>
      </w:r>
    </w:p>
    <w:p w14:paraId="1A2DFC4A" w14:textId="77777777" w:rsidR="00161C10" w:rsidRDefault="00161C10">
      <w:pPr>
        <w:pStyle w:val="BodyText"/>
        <w:spacing w:before="54"/>
        <w:rPr>
          <w:rFonts w:ascii="Arial"/>
          <w:b/>
          <w:sz w:val="44"/>
        </w:rPr>
      </w:pPr>
    </w:p>
    <w:p w14:paraId="71346EDC" w14:textId="77777777" w:rsidR="00161C10" w:rsidRPr="00CE2C8C" w:rsidRDefault="00CE2C8C" w:rsidP="00CE2C8C">
      <w:pPr>
        <w:jc w:val="center"/>
        <w:rPr>
          <w:sz w:val="28"/>
          <w:szCs w:val="28"/>
        </w:rPr>
      </w:pPr>
      <w:r w:rsidRPr="00CE2C8C">
        <w:rPr>
          <w:sz w:val="28"/>
          <w:szCs w:val="28"/>
        </w:rPr>
        <w:t>Submitted</w:t>
      </w:r>
      <w:r w:rsidRPr="00CE2C8C">
        <w:rPr>
          <w:spacing w:val="-4"/>
          <w:sz w:val="28"/>
          <w:szCs w:val="28"/>
        </w:rPr>
        <w:t xml:space="preserve"> </w:t>
      </w:r>
      <w:r w:rsidRPr="00CE2C8C">
        <w:rPr>
          <w:sz w:val="28"/>
          <w:szCs w:val="28"/>
        </w:rPr>
        <w:t>by</w:t>
      </w:r>
      <w:r w:rsidRPr="00CE2C8C">
        <w:rPr>
          <w:spacing w:val="-5"/>
          <w:sz w:val="28"/>
          <w:szCs w:val="28"/>
        </w:rPr>
        <w:t xml:space="preserve"> </w:t>
      </w:r>
      <w:r w:rsidRPr="00CE2C8C">
        <w:rPr>
          <w:sz w:val="28"/>
          <w:szCs w:val="28"/>
        </w:rPr>
        <w:t>the</w:t>
      </w:r>
      <w:r w:rsidRPr="00CE2C8C">
        <w:rPr>
          <w:spacing w:val="-6"/>
          <w:sz w:val="28"/>
          <w:szCs w:val="28"/>
        </w:rPr>
        <w:t xml:space="preserve"> </w:t>
      </w:r>
      <w:r w:rsidRPr="00CE2C8C">
        <w:rPr>
          <w:sz w:val="28"/>
          <w:szCs w:val="28"/>
        </w:rPr>
        <w:t>European</w:t>
      </w:r>
      <w:r w:rsidRPr="00CE2C8C">
        <w:rPr>
          <w:spacing w:val="-6"/>
          <w:sz w:val="28"/>
          <w:szCs w:val="28"/>
        </w:rPr>
        <w:t xml:space="preserve"> </w:t>
      </w:r>
      <w:r w:rsidRPr="00CE2C8C">
        <w:rPr>
          <w:sz w:val="28"/>
          <w:szCs w:val="28"/>
        </w:rPr>
        <w:t>Network</w:t>
      </w:r>
      <w:r w:rsidRPr="00CE2C8C">
        <w:rPr>
          <w:spacing w:val="-5"/>
          <w:sz w:val="28"/>
          <w:szCs w:val="28"/>
        </w:rPr>
        <w:t xml:space="preserve"> </w:t>
      </w:r>
      <w:r w:rsidRPr="00CE2C8C">
        <w:rPr>
          <w:sz w:val="28"/>
          <w:szCs w:val="28"/>
        </w:rPr>
        <w:t>on</w:t>
      </w:r>
      <w:r w:rsidRPr="00CE2C8C">
        <w:rPr>
          <w:spacing w:val="-3"/>
          <w:sz w:val="28"/>
          <w:szCs w:val="28"/>
        </w:rPr>
        <w:t xml:space="preserve"> </w:t>
      </w:r>
      <w:r w:rsidRPr="00CE2C8C">
        <w:rPr>
          <w:sz w:val="28"/>
          <w:szCs w:val="28"/>
        </w:rPr>
        <w:t>Independent</w:t>
      </w:r>
      <w:r w:rsidRPr="00CE2C8C">
        <w:rPr>
          <w:spacing w:val="-4"/>
          <w:sz w:val="28"/>
          <w:szCs w:val="28"/>
        </w:rPr>
        <w:t xml:space="preserve"> </w:t>
      </w:r>
      <w:r w:rsidRPr="00CE2C8C">
        <w:rPr>
          <w:sz w:val="28"/>
          <w:szCs w:val="28"/>
        </w:rPr>
        <w:t>Living</w:t>
      </w:r>
      <w:r w:rsidRPr="00CE2C8C">
        <w:rPr>
          <w:spacing w:val="-3"/>
          <w:sz w:val="28"/>
          <w:szCs w:val="28"/>
        </w:rPr>
        <w:t xml:space="preserve"> </w:t>
      </w:r>
      <w:r w:rsidRPr="00CE2C8C">
        <w:rPr>
          <w:sz w:val="28"/>
          <w:szCs w:val="28"/>
        </w:rPr>
        <w:t>for</w:t>
      </w:r>
      <w:r w:rsidRPr="00CE2C8C">
        <w:rPr>
          <w:spacing w:val="-5"/>
          <w:sz w:val="28"/>
          <w:szCs w:val="28"/>
        </w:rPr>
        <w:t xml:space="preserve"> </w:t>
      </w:r>
      <w:r w:rsidRPr="00CE2C8C">
        <w:rPr>
          <w:sz w:val="28"/>
          <w:szCs w:val="28"/>
        </w:rPr>
        <w:t>the combined second and third review of the European Union by the Committee on the Rights of Persons with Disabilities</w:t>
      </w:r>
    </w:p>
    <w:p w14:paraId="038DCECF" w14:textId="77777777" w:rsidR="00161C10" w:rsidRDefault="00CE2C8C">
      <w:pPr>
        <w:spacing w:before="122"/>
        <w:ind w:left="724" w:right="722"/>
        <w:jc w:val="center"/>
        <w:rPr>
          <w:sz w:val="28"/>
        </w:rPr>
      </w:pPr>
      <w:r>
        <w:rPr>
          <w:sz w:val="28"/>
        </w:rPr>
        <w:t>24</w:t>
      </w:r>
      <w:r>
        <w:rPr>
          <w:spacing w:val="-4"/>
          <w:sz w:val="28"/>
        </w:rPr>
        <w:t xml:space="preserve"> </w:t>
      </w:r>
      <w:r>
        <w:rPr>
          <w:sz w:val="28"/>
        </w:rPr>
        <w:t>February</w:t>
      </w:r>
      <w:r>
        <w:rPr>
          <w:spacing w:val="-2"/>
          <w:sz w:val="28"/>
        </w:rPr>
        <w:t xml:space="preserve"> </w:t>
      </w:r>
      <w:r>
        <w:rPr>
          <w:spacing w:val="-4"/>
          <w:sz w:val="28"/>
        </w:rPr>
        <w:t>2024</w:t>
      </w:r>
    </w:p>
    <w:p w14:paraId="7243896D" w14:textId="77777777" w:rsidR="00161C10" w:rsidRDefault="00CE2C8C" w:rsidP="005B2E9B">
      <w:pPr>
        <w:pStyle w:val="Heading1"/>
      </w:pPr>
      <w:r>
        <w:t>Introduction</w:t>
      </w:r>
    </w:p>
    <w:p w14:paraId="23FC1D93" w14:textId="77777777" w:rsidR="00161C10" w:rsidRDefault="00CE2C8C">
      <w:pPr>
        <w:pStyle w:val="BodyText"/>
        <w:spacing w:before="192" w:line="276" w:lineRule="auto"/>
        <w:ind w:left="360" w:right="356"/>
        <w:jc w:val="both"/>
      </w:pPr>
      <w:r>
        <w:t xml:space="preserve">The European Network on Independent Living - ENIL submitted its </w:t>
      </w:r>
      <w:hyperlink r:id="rId8">
        <w:r>
          <w:rPr>
            <w:color w:val="1154CC"/>
            <w:u w:val="single" w:color="1154CC"/>
          </w:rPr>
          <w:t>Shadow report on</w:t>
        </w:r>
      </w:hyperlink>
      <w:r>
        <w:rPr>
          <w:color w:val="1154CC"/>
        </w:rPr>
        <w:t xml:space="preserve"> </w:t>
      </w:r>
      <w:hyperlink r:id="rId9">
        <w:r>
          <w:rPr>
            <w:color w:val="1154CC"/>
            <w:u w:val="single" w:color="1154CC"/>
          </w:rPr>
          <w:t>implementation of the UN Convention on the Rights of Persons with Disabilities in the</w:t>
        </w:r>
      </w:hyperlink>
      <w:r>
        <w:rPr>
          <w:color w:val="1154CC"/>
        </w:rPr>
        <w:t xml:space="preserve"> </w:t>
      </w:r>
      <w:hyperlink r:id="rId10">
        <w:r>
          <w:rPr>
            <w:color w:val="1154CC"/>
            <w:u w:val="single" w:color="1154CC"/>
          </w:rPr>
          <w:t>European Union</w:t>
        </w:r>
      </w:hyperlink>
      <w:r>
        <w:rPr>
          <w:color w:val="1154CC"/>
        </w:rPr>
        <w:t xml:space="preserve"> </w:t>
      </w:r>
      <w:r>
        <w:t>(INT_CRPD_ICS_EUR_47874_E) for the combined second and third review of the European Union (List of Issues Prior to Reporting) on 14 February 2022. The</w:t>
      </w:r>
      <w:r>
        <w:rPr>
          <w:spacing w:val="-2"/>
        </w:rPr>
        <w:t xml:space="preserve"> </w:t>
      </w:r>
      <w:r>
        <w:t>present</w:t>
      </w:r>
      <w:r>
        <w:rPr>
          <w:spacing w:val="-2"/>
        </w:rPr>
        <w:t xml:space="preserve"> </w:t>
      </w:r>
      <w:r>
        <w:t>update</w:t>
      </w:r>
      <w:r>
        <w:rPr>
          <w:spacing w:val="-1"/>
        </w:rPr>
        <w:t xml:space="preserve"> </w:t>
      </w:r>
      <w:r>
        <w:t>aims</w:t>
      </w:r>
      <w:r>
        <w:rPr>
          <w:spacing w:val="-2"/>
        </w:rPr>
        <w:t xml:space="preserve"> </w:t>
      </w:r>
      <w:r>
        <w:t>to</w:t>
      </w:r>
      <w:r>
        <w:rPr>
          <w:spacing w:val="-2"/>
        </w:rPr>
        <w:t xml:space="preserve"> </w:t>
      </w:r>
      <w:r>
        <w:t>complement</w:t>
      </w:r>
      <w:r>
        <w:rPr>
          <w:spacing w:val="-4"/>
        </w:rPr>
        <w:t xml:space="preserve"> </w:t>
      </w:r>
      <w:r>
        <w:t>the</w:t>
      </w:r>
      <w:r>
        <w:rPr>
          <w:spacing w:val="-4"/>
        </w:rPr>
        <w:t xml:space="preserve"> </w:t>
      </w:r>
      <w:r>
        <w:t>information</w:t>
      </w:r>
      <w:r>
        <w:rPr>
          <w:spacing w:val="-4"/>
        </w:rPr>
        <w:t xml:space="preserve"> </w:t>
      </w:r>
      <w:r>
        <w:t>provided</w:t>
      </w:r>
      <w:r>
        <w:rPr>
          <w:spacing w:val="-2"/>
        </w:rPr>
        <w:t xml:space="preserve"> </w:t>
      </w:r>
      <w:r>
        <w:t>in</w:t>
      </w:r>
      <w:r>
        <w:rPr>
          <w:spacing w:val="-4"/>
        </w:rPr>
        <w:t xml:space="preserve"> </w:t>
      </w:r>
      <w:r>
        <w:t>that</w:t>
      </w:r>
      <w:r>
        <w:rPr>
          <w:spacing w:val="-2"/>
        </w:rPr>
        <w:t xml:space="preserve"> </w:t>
      </w:r>
      <w:r>
        <w:t>Shadow</w:t>
      </w:r>
      <w:r>
        <w:rPr>
          <w:spacing w:val="-2"/>
        </w:rPr>
        <w:t xml:space="preserve"> </w:t>
      </w:r>
      <w:r>
        <w:t xml:space="preserve">report, taking into consideration developments in the three years between February 2022 and February 2025, as well as the information provided to the Committee on the Rights of Persons with Disabilities (CRPD Committee) by the European Union in its official </w:t>
      </w:r>
      <w:hyperlink r:id="rId11">
        <w:r>
          <w:rPr>
            <w:color w:val="1154CC"/>
            <w:u w:val="single" w:color="1154CC"/>
          </w:rPr>
          <w:t>Combined second and third reports</w:t>
        </w:r>
      </w:hyperlink>
      <w:r>
        <w:rPr>
          <w:color w:val="1154CC"/>
        </w:rPr>
        <w:t xml:space="preserve"> </w:t>
      </w:r>
      <w:r>
        <w:t>(dated 18 April 2023.)</w:t>
      </w:r>
    </w:p>
    <w:p w14:paraId="1A07575D" w14:textId="77777777" w:rsidR="00161C10" w:rsidRDefault="00CE2C8C">
      <w:pPr>
        <w:pStyle w:val="BodyText"/>
        <w:spacing w:before="120" w:line="276" w:lineRule="auto"/>
        <w:ind w:left="360" w:right="355"/>
        <w:jc w:val="both"/>
      </w:pPr>
      <w:r>
        <w:t>The Update to the Shadow report begins with an insight into the lived experience of the right</w:t>
      </w:r>
      <w:r>
        <w:rPr>
          <w:spacing w:val="-5"/>
        </w:rPr>
        <w:t xml:space="preserve"> </w:t>
      </w:r>
      <w:r>
        <w:t>to</w:t>
      </w:r>
      <w:r>
        <w:rPr>
          <w:spacing w:val="-4"/>
        </w:rPr>
        <w:t xml:space="preserve"> </w:t>
      </w:r>
      <w:r>
        <w:t>live</w:t>
      </w:r>
      <w:r>
        <w:rPr>
          <w:spacing w:val="-5"/>
        </w:rPr>
        <w:t xml:space="preserve"> </w:t>
      </w:r>
      <w:r>
        <w:t>independently</w:t>
      </w:r>
      <w:r>
        <w:rPr>
          <w:spacing w:val="-5"/>
        </w:rPr>
        <w:t xml:space="preserve"> </w:t>
      </w:r>
      <w:r>
        <w:t>and</w:t>
      </w:r>
      <w:r>
        <w:rPr>
          <w:spacing w:val="-5"/>
        </w:rPr>
        <w:t xml:space="preserve"> </w:t>
      </w:r>
      <w:r>
        <w:t>being</w:t>
      </w:r>
      <w:r>
        <w:rPr>
          <w:spacing w:val="-4"/>
        </w:rPr>
        <w:t xml:space="preserve"> </w:t>
      </w:r>
      <w:r>
        <w:t>included</w:t>
      </w:r>
      <w:r>
        <w:rPr>
          <w:spacing w:val="-7"/>
        </w:rPr>
        <w:t xml:space="preserve"> </w:t>
      </w:r>
      <w:r>
        <w:t>in</w:t>
      </w:r>
      <w:r>
        <w:rPr>
          <w:spacing w:val="-5"/>
        </w:rPr>
        <w:t xml:space="preserve"> </w:t>
      </w:r>
      <w:r>
        <w:t>the</w:t>
      </w:r>
      <w:r>
        <w:rPr>
          <w:spacing w:val="-5"/>
        </w:rPr>
        <w:t xml:space="preserve"> </w:t>
      </w:r>
      <w:r>
        <w:t>community</w:t>
      </w:r>
      <w:r>
        <w:rPr>
          <w:spacing w:val="-8"/>
        </w:rPr>
        <w:t xml:space="preserve"> </w:t>
      </w:r>
      <w:r>
        <w:t>by</w:t>
      </w:r>
      <w:r>
        <w:rPr>
          <w:spacing w:val="-5"/>
        </w:rPr>
        <w:t xml:space="preserve"> </w:t>
      </w:r>
      <w:r>
        <w:t>disabled</w:t>
      </w:r>
      <w:r>
        <w:rPr>
          <w:spacing w:val="-7"/>
        </w:rPr>
        <w:t xml:space="preserve"> </w:t>
      </w:r>
      <w:r>
        <w:t>people</w:t>
      </w:r>
      <w:hyperlink w:anchor="_bookmark0" w:history="1">
        <w:r>
          <w:rPr>
            <w:position w:val="8"/>
            <w:sz w:val="16"/>
          </w:rPr>
          <w:t>1</w:t>
        </w:r>
      </w:hyperlink>
      <w:r>
        <w:rPr>
          <w:spacing w:val="17"/>
          <w:position w:val="8"/>
          <w:sz w:val="16"/>
        </w:rPr>
        <w:t xml:space="preserve"> </w:t>
      </w:r>
      <w:r>
        <w:t>from the European Union and then continues with references to the claims stated by the European Union in the official report,</w:t>
      </w:r>
      <w:r>
        <w:rPr>
          <w:spacing w:val="-1"/>
        </w:rPr>
        <w:t xml:space="preserve"> </w:t>
      </w:r>
      <w:r>
        <w:t>where</w:t>
      </w:r>
      <w:r>
        <w:rPr>
          <w:spacing w:val="-3"/>
        </w:rPr>
        <w:t xml:space="preserve"> </w:t>
      </w:r>
      <w:r>
        <w:t>ENIL holds complementary information. For each section covered, ENIL proposes recommendations for the European Union, to be included by the CRPD Committee in the Concluding Observations.</w:t>
      </w:r>
    </w:p>
    <w:p w14:paraId="26AF3ECA" w14:textId="77777777" w:rsidR="00161C10" w:rsidRDefault="00161C10">
      <w:pPr>
        <w:pStyle w:val="BodyText"/>
        <w:rPr>
          <w:sz w:val="20"/>
        </w:rPr>
      </w:pPr>
    </w:p>
    <w:p w14:paraId="2C08811C" w14:textId="77777777" w:rsidR="00161C10" w:rsidRDefault="00161C10">
      <w:pPr>
        <w:pStyle w:val="BodyText"/>
        <w:rPr>
          <w:sz w:val="20"/>
        </w:rPr>
      </w:pPr>
    </w:p>
    <w:p w14:paraId="5D4DCBB6" w14:textId="77777777" w:rsidR="00161C10" w:rsidRDefault="00161C10">
      <w:pPr>
        <w:pStyle w:val="BodyText"/>
        <w:rPr>
          <w:sz w:val="20"/>
        </w:rPr>
      </w:pPr>
    </w:p>
    <w:p w14:paraId="0C8CFC55" w14:textId="77777777" w:rsidR="00161C10" w:rsidRDefault="00CE2C8C">
      <w:pPr>
        <w:pStyle w:val="BodyText"/>
        <w:spacing w:before="38"/>
        <w:rPr>
          <w:sz w:val="20"/>
        </w:rPr>
      </w:pPr>
      <w:r>
        <w:rPr>
          <w:noProof/>
          <w:sz w:val="20"/>
        </w:rPr>
        <mc:AlternateContent>
          <mc:Choice Requires="wps">
            <w:drawing>
              <wp:anchor distT="0" distB="0" distL="0" distR="0" simplePos="0" relativeHeight="487587840" behindDoc="1" locked="0" layoutInCell="1" allowOverlap="1" wp14:anchorId="30978C09" wp14:editId="40E3FBED">
                <wp:simplePos x="0" y="0"/>
                <wp:positionH relativeFrom="page">
                  <wp:posOffset>914704</wp:posOffset>
                </wp:positionH>
                <wp:positionV relativeFrom="paragraph">
                  <wp:posOffset>185842</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DE01A5" id="Graphic 2" o:spid="_x0000_s1026" style="position:absolute;margin-left:1in;margin-top:14.6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" path="m1829054,l,,,7619r1829054,l1829054,xe" fillcolor="black" stroked="f">
                <v:path arrowok="t"/>
                <w10:wrap type="topAndBottom" anchorx="page"/>
              </v:shape>
            </w:pict>
          </mc:Fallback>
        </mc:AlternateContent>
      </w:r>
    </w:p>
    <w:p w14:paraId="17B8FBFC" w14:textId="77777777" w:rsidR="00161C10" w:rsidRDefault="00CE2C8C">
      <w:pPr>
        <w:spacing w:before="91"/>
        <w:ind w:left="360"/>
        <w:rPr>
          <w:sz w:val="20"/>
        </w:rPr>
      </w:pPr>
      <w:bookmarkStart w:id="0" w:name="_bookmark0"/>
      <w:bookmarkEnd w:id="0"/>
      <w:r>
        <w:rPr>
          <w:position w:val="6"/>
          <w:sz w:val="13"/>
        </w:rPr>
        <w:t>1</w:t>
      </w:r>
      <w:r>
        <w:rPr>
          <w:spacing w:val="13"/>
          <w:position w:val="6"/>
          <w:sz w:val="13"/>
        </w:rPr>
        <w:t xml:space="preserve"> </w:t>
      </w:r>
      <w:r>
        <w:rPr>
          <w:sz w:val="20"/>
        </w:rPr>
        <w:t>ENIL</w:t>
      </w:r>
      <w:r>
        <w:rPr>
          <w:spacing w:val="-5"/>
          <w:sz w:val="20"/>
        </w:rPr>
        <w:t xml:space="preserve"> </w:t>
      </w:r>
      <w:r>
        <w:rPr>
          <w:sz w:val="20"/>
        </w:rPr>
        <w:t>uses</w:t>
      </w:r>
      <w:r>
        <w:rPr>
          <w:spacing w:val="-5"/>
          <w:sz w:val="20"/>
        </w:rPr>
        <w:t xml:space="preserve"> </w:t>
      </w:r>
      <w:r>
        <w:rPr>
          <w:sz w:val="20"/>
        </w:rPr>
        <w:t>the</w:t>
      </w:r>
      <w:r>
        <w:rPr>
          <w:spacing w:val="-6"/>
          <w:sz w:val="20"/>
        </w:rPr>
        <w:t xml:space="preserve"> </w:t>
      </w:r>
      <w:r>
        <w:rPr>
          <w:sz w:val="20"/>
        </w:rPr>
        <w:t>term</w:t>
      </w:r>
      <w:r>
        <w:rPr>
          <w:spacing w:val="-3"/>
          <w:sz w:val="20"/>
        </w:rPr>
        <w:t xml:space="preserve"> </w:t>
      </w:r>
      <w:r>
        <w:rPr>
          <w:sz w:val="20"/>
        </w:rPr>
        <w:t>“disabled</w:t>
      </w:r>
      <w:r>
        <w:rPr>
          <w:spacing w:val="-7"/>
          <w:sz w:val="20"/>
        </w:rPr>
        <w:t xml:space="preserve"> </w:t>
      </w:r>
      <w:r>
        <w:rPr>
          <w:sz w:val="20"/>
        </w:rPr>
        <w:t>people”</w:t>
      </w:r>
      <w:r>
        <w:rPr>
          <w:spacing w:val="-6"/>
          <w:sz w:val="20"/>
        </w:rPr>
        <w:t xml:space="preserve"> </w:t>
      </w:r>
      <w:r>
        <w:rPr>
          <w:sz w:val="20"/>
        </w:rPr>
        <w:t>as</w:t>
      </w:r>
      <w:r>
        <w:rPr>
          <w:spacing w:val="-3"/>
          <w:sz w:val="20"/>
        </w:rPr>
        <w:t xml:space="preserve"> </w:t>
      </w:r>
      <w:r>
        <w:rPr>
          <w:sz w:val="20"/>
        </w:rPr>
        <w:t>a</w:t>
      </w:r>
      <w:r>
        <w:rPr>
          <w:spacing w:val="-6"/>
          <w:sz w:val="20"/>
        </w:rPr>
        <w:t xml:space="preserve"> </w:t>
      </w:r>
      <w:r>
        <w:rPr>
          <w:sz w:val="20"/>
        </w:rPr>
        <w:t>political</w:t>
      </w:r>
      <w:r>
        <w:rPr>
          <w:spacing w:val="-7"/>
          <w:sz w:val="20"/>
        </w:rPr>
        <w:t xml:space="preserve"> </w:t>
      </w:r>
      <w:r>
        <w:rPr>
          <w:sz w:val="20"/>
        </w:rPr>
        <w:t>choice</w:t>
      </w:r>
      <w:r>
        <w:rPr>
          <w:spacing w:val="-6"/>
          <w:sz w:val="20"/>
        </w:rPr>
        <w:t xml:space="preserve"> </w:t>
      </w:r>
      <w:r>
        <w:rPr>
          <w:sz w:val="20"/>
        </w:rPr>
        <w:t>that</w:t>
      </w:r>
      <w:r>
        <w:rPr>
          <w:spacing w:val="-6"/>
          <w:sz w:val="20"/>
        </w:rPr>
        <w:t xml:space="preserve"> </w:t>
      </w:r>
      <w:r>
        <w:rPr>
          <w:sz w:val="20"/>
        </w:rPr>
        <w:t>reflects</w:t>
      </w:r>
      <w:r>
        <w:rPr>
          <w:spacing w:val="-5"/>
          <w:sz w:val="20"/>
        </w:rPr>
        <w:t xml:space="preserve"> </w:t>
      </w:r>
      <w:r>
        <w:rPr>
          <w:sz w:val="20"/>
        </w:rPr>
        <w:t>the</w:t>
      </w:r>
      <w:r>
        <w:rPr>
          <w:spacing w:val="-6"/>
          <w:sz w:val="20"/>
        </w:rPr>
        <w:t xml:space="preserve"> </w:t>
      </w:r>
      <w:r>
        <w:rPr>
          <w:sz w:val="20"/>
        </w:rPr>
        <w:t>social</w:t>
      </w:r>
      <w:r>
        <w:rPr>
          <w:spacing w:val="-5"/>
          <w:sz w:val="20"/>
        </w:rPr>
        <w:t xml:space="preserve"> </w:t>
      </w:r>
      <w:r>
        <w:rPr>
          <w:sz w:val="20"/>
        </w:rPr>
        <w:t>model</w:t>
      </w:r>
      <w:r>
        <w:rPr>
          <w:spacing w:val="-7"/>
          <w:sz w:val="20"/>
        </w:rPr>
        <w:t xml:space="preserve"> </w:t>
      </w:r>
      <w:r>
        <w:rPr>
          <w:sz w:val="20"/>
        </w:rPr>
        <w:t>of</w:t>
      </w:r>
      <w:r>
        <w:rPr>
          <w:spacing w:val="-6"/>
          <w:sz w:val="20"/>
        </w:rPr>
        <w:t xml:space="preserve"> </w:t>
      </w:r>
      <w:r>
        <w:rPr>
          <w:spacing w:val="-2"/>
          <w:sz w:val="20"/>
        </w:rPr>
        <w:t>disability.</w:t>
      </w:r>
    </w:p>
    <w:p w14:paraId="2EA7A161" w14:textId="77777777" w:rsidR="00161C10" w:rsidRDefault="00161C10">
      <w:pPr>
        <w:pStyle w:val="BodyText"/>
        <w:spacing w:before="1"/>
        <w:rPr>
          <w:sz w:val="20"/>
        </w:rPr>
      </w:pPr>
    </w:p>
    <w:p w14:paraId="6FE6CDDE" w14:textId="77777777" w:rsidR="00161C10" w:rsidRDefault="00CE2C8C">
      <w:pPr>
        <w:ind w:left="723" w:right="728"/>
        <w:jc w:val="center"/>
        <w:rPr>
          <w:sz w:val="20"/>
        </w:rPr>
      </w:pPr>
      <w:r>
        <w:rPr>
          <w:sz w:val="20"/>
        </w:rPr>
        <w:t>European</w:t>
      </w:r>
      <w:r>
        <w:rPr>
          <w:spacing w:val="-9"/>
          <w:sz w:val="20"/>
        </w:rPr>
        <w:t xml:space="preserve"> </w:t>
      </w:r>
      <w:r>
        <w:rPr>
          <w:sz w:val="20"/>
        </w:rPr>
        <w:t>Network</w:t>
      </w:r>
      <w:r>
        <w:rPr>
          <w:spacing w:val="-8"/>
          <w:sz w:val="20"/>
        </w:rPr>
        <w:t xml:space="preserve"> </w:t>
      </w:r>
      <w:r>
        <w:rPr>
          <w:sz w:val="20"/>
        </w:rPr>
        <w:t>on</w:t>
      </w:r>
      <w:r>
        <w:rPr>
          <w:spacing w:val="-11"/>
          <w:sz w:val="20"/>
        </w:rPr>
        <w:t xml:space="preserve"> </w:t>
      </w:r>
      <w:r>
        <w:rPr>
          <w:sz w:val="20"/>
        </w:rPr>
        <w:t>Independent</w:t>
      </w:r>
      <w:r>
        <w:rPr>
          <w:spacing w:val="-8"/>
          <w:sz w:val="20"/>
        </w:rPr>
        <w:t xml:space="preserve"> </w:t>
      </w:r>
      <w:r>
        <w:rPr>
          <w:sz w:val="20"/>
        </w:rPr>
        <w:t>Living</w:t>
      </w:r>
      <w:r>
        <w:rPr>
          <w:spacing w:val="-10"/>
          <w:sz w:val="20"/>
        </w:rPr>
        <w:t xml:space="preserve"> </w:t>
      </w:r>
      <w:r>
        <w:rPr>
          <w:sz w:val="20"/>
        </w:rPr>
        <w:t>Brussels</w:t>
      </w:r>
      <w:r>
        <w:rPr>
          <w:spacing w:val="-9"/>
          <w:sz w:val="20"/>
        </w:rPr>
        <w:t xml:space="preserve"> </w:t>
      </w:r>
      <w:r>
        <w:rPr>
          <w:sz w:val="20"/>
        </w:rPr>
        <w:t>Office</w:t>
      </w:r>
      <w:r>
        <w:rPr>
          <w:spacing w:val="-10"/>
          <w:sz w:val="20"/>
        </w:rPr>
        <w:t xml:space="preserve"> </w:t>
      </w:r>
      <w:proofErr w:type="spellStart"/>
      <w:r>
        <w:rPr>
          <w:spacing w:val="-2"/>
          <w:sz w:val="20"/>
        </w:rPr>
        <w:t>vzw</w:t>
      </w:r>
      <w:proofErr w:type="spellEnd"/>
      <w:r>
        <w:rPr>
          <w:spacing w:val="-2"/>
          <w:sz w:val="20"/>
        </w:rPr>
        <w:t>/</w:t>
      </w:r>
      <w:proofErr w:type="spellStart"/>
      <w:r>
        <w:rPr>
          <w:spacing w:val="-2"/>
          <w:sz w:val="20"/>
        </w:rPr>
        <w:t>asbl</w:t>
      </w:r>
      <w:proofErr w:type="spellEnd"/>
    </w:p>
    <w:p w14:paraId="0474B05E" w14:textId="77777777" w:rsidR="00161C10" w:rsidRDefault="00CE2C8C">
      <w:pPr>
        <w:ind w:left="723" w:right="722"/>
        <w:jc w:val="center"/>
      </w:pPr>
      <w:r>
        <w:rPr>
          <w:sz w:val="20"/>
        </w:rPr>
        <w:t>Mundo</w:t>
      </w:r>
      <w:r>
        <w:rPr>
          <w:spacing w:val="-3"/>
          <w:sz w:val="20"/>
        </w:rPr>
        <w:t xml:space="preserve"> </w:t>
      </w:r>
      <w:r>
        <w:rPr>
          <w:sz w:val="20"/>
        </w:rPr>
        <w:t>J</w:t>
      </w:r>
      <w:r>
        <w:rPr>
          <w:spacing w:val="-2"/>
          <w:sz w:val="20"/>
        </w:rPr>
        <w:t xml:space="preserve"> </w:t>
      </w:r>
      <w:r>
        <w:rPr>
          <w:sz w:val="20"/>
        </w:rPr>
        <w:t>–</w:t>
      </w:r>
      <w:r>
        <w:rPr>
          <w:spacing w:val="-1"/>
          <w:sz w:val="20"/>
        </w:rPr>
        <w:t xml:space="preserve"> </w:t>
      </w:r>
      <w:r>
        <w:rPr>
          <w:sz w:val="20"/>
        </w:rPr>
        <w:t>6</w:t>
      </w:r>
      <w:proofErr w:type="spellStart"/>
      <w:r>
        <w:rPr>
          <w:position w:val="6"/>
          <w:sz w:val="13"/>
        </w:rPr>
        <w:t>th</w:t>
      </w:r>
      <w:proofErr w:type="spellEnd"/>
      <w:r>
        <w:rPr>
          <w:spacing w:val="17"/>
          <w:position w:val="6"/>
          <w:sz w:val="13"/>
        </w:rPr>
        <w:t xml:space="preserve"> </w:t>
      </w:r>
      <w:r>
        <w:rPr>
          <w:sz w:val="20"/>
        </w:rPr>
        <w:t>Floor,</w:t>
      </w:r>
      <w:r>
        <w:rPr>
          <w:spacing w:val="-3"/>
          <w:sz w:val="20"/>
        </w:rPr>
        <w:t xml:space="preserve"> </w:t>
      </w:r>
      <w:r>
        <w:rPr>
          <w:sz w:val="20"/>
        </w:rPr>
        <w:t>Rue</w:t>
      </w:r>
      <w:r>
        <w:rPr>
          <w:spacing w:val="-2"/>
          <w:sz w:val="20"/>
        </w:rPr>
        <w:t xml:space="preserve"> </w:t>
      </w:r>
      <w:r>
        <w:rPr>
          <w:sz w:val="20"/>
        </w:rPr>
        <w:t>de</w:t>
      </w:r>
      <w:r>
        <w:rPr>
          <w:spacing w:val="-3"/>
          <w:sz w:val="20"/>
        </w:rPr>
        <w:t xml:space="preserve"> </w:t>
      </w:r>
      <w:proofErr w:type="spellStart"/>
      <w:r>
        <w:rPr>
          <w:sz w:val="20"/>
        </w:rPr>
        <w:t>l’Industrie</w:t>
      </w:r>
      <w:proofErr w:type="spellEnd"/>
      <w:r>
        <w:rPr>
          <w:spacing w:val="-1"/>
          <w:sz w:val="20"/>
        </w:rPr>
        <w:t xml:space="preserve"> </w:t>
      </w:r>
      <w:r>
        <w:rPr>
          <w:sz w:val="20"/>
        </w:rPr>
        <w:t>10,</w:t>
      </w:r>
      <w:r>
        <w:rPr>
          <w:spacing w:val="-1"/>
          <w:sz w:val="20"/>
        </w:rPr>
        <w:t xml:space="preserve"> </w:t>
      </w:r>
      <w:r>
        <w:rPr>
          <w:sz w:val="20"/>
        </w:rPr>
        <w:t>1000</w:t>
      </w:r>
      <w:r>
        <w:rPr>
          <w:spacing w:val="-3"/>
          <w:sz w:val="20"/>
        </w:rPr>
        <w:t xml:space="preserve"> </w:t>
      </w:r>
      <w:r>
        <w:rPr>
          <w:sz w:val="20"/>
        </w:rPr>
        <w:t>Brussels,</w:t>
      </w:r>
      <w:r>
        <w:rPr>
          <w:spacing w:val="-3"/>
          <w:sz w:val="20"/>
        </w:rPr>
        <w:t xml:space="preserve"> </w:t>
      </w:r>
      <w:r>
        <w:rPr>
          <w:sz w:val="20"/>
        </w:rPr>
        <w:t>Belgium,</w:t>
      </w:r>
      <w:r>
        <w:rPr>
          <w:spacing w:val="-3"/>
          <w:sz w:val="20"/>
        </w:rPr>
        <w:t xml:space="preserve"> </w:t>
      </w:r>
      <w:proofErr w:type="spellStart"/>
      <w:r>
        <w:rPr>
          <w:sz w:val="20"/>
        </w:rPr>
        <w:t>tel</w:t>
      </w:r>
      <w:proofErr w:type="spellEnd"/>
      <w:r>
        <w:rPr>
          <w:sz w:val="20"/>
        </w:rPr>
        <w:t>:</w:t>
      </w:r>
      <w:r>
        <w:rPr>
          <w:spacing w:val="-1"/>
          <w:sz w:val="20"/>
        </w:rPr>
        <w:t xml:space="preserve"> </w:t>
      </w:r>
      <w:r>
        <w:rPr>
          <w:sz w:val="20"/>
        </w:rPr>
        <w:t>00</w:t>
      </w:r>
      <w:r>
        <w:rPr>
          <w:spacing w:val="-1"/>
          <w:sz w:val="20"/>
        </w:rPr>
        <w:t xml:space="preserve"> </w:t>
      </w:r>
      <w:r>
        <w:rPr>
          <w:sz w:val="20"/>
        </w:rPr>
        <w:t>32</w:t>
      </w:r>
      <w:r>
        <w:rPr>
          <w:spacing w:val="-1"/>
          <w:sz w:val="20"/>
        </w:rPr>
        <w:t xml:space="preserve"> </w:t>
      </w:r>
      <w:r>
        <w:rPr>
          <w:sz w:val="20"/>
        </w:rPr>
        <w:t>2</w:t>
      </w:r>
      <w:r>
        <w:rPr>
          <w:spacing w:val="-3"/>
          <w:sz w:val="20"/>
        </w:rPr>
        <w:t xml:space="preserve"> </w:t>
      </w:r>
      <w:r>
        <w:rPr>
          <w:sz w:val="20"/>
        </w:rPr>
        <w:t>893</w:t>
      </w:r>
      <w:r>
        <w:rPr>
          <w:spacing w:val="-3"/>
          <w:sz w:val="20"/>
        </w:rPr>
        <w:t xml:space="preserve"> </w:t>
      </w:r>
      <w:r>
        <w:rPr>
          <w:sz w:val="20"/>
        </w:rPr>
        <w:t>25</w:t>
      </w:r>
      <w:r>
        <w:rPr>
          <w:spacing w:val="-3"/>
          <w:sz w:val="20"/>
        </w:rPr>
        <w:t xml:space="preserve"> </w:t>
      </w:r>
      <w:r>
        <w:rPr>
          <w:sz w:val="20"/>
        </w:rPr>
        <w:t xml:space="preserve">83, website: </w:t>
      </w:r>
      <w:hyperlink r:id="rId12">
        <w:r>
          <w:rPr>
            <w:color w:val="0000FF"/>
            <w:u w:val="single" w:color="0000FF"/>
          </w:rPr>
          <w:t>www.enil.eu</w:t>
        </w:r>
        <w:r>
          <w:rPr>
            <w:sz w:val="20"/>
          </w:rPr>
          <w:t>,</w:t>
        </w:r>
      </w:hyperlink>
      <w:r>
        <w:rPr>
          <w:sz w:val="20"/>
        </w:rPr>
        <w:t xml:space="preserve"> e-mail: </w:t>
      </w:r>
      <w:hyperlink r:id="rId13">
        <w:r>
          <w:rPr>
            <w:color w:val="0000FF"/>
            <w:u w:val="single" w:color="0000FF"/>
          </w:rPr>
          <w:t>secretariat@enil.eu</w:t>
        </w:r>
      </w:hyperlink>
    </w:p>
    <w:p w14:paraId="0B9EBD39" w14:textId="77777777" w:rsidR="00161C10" w:rsidRDefault="00CE2C8C">
      <w:pPr>
        <w:spacing w:line="229" w:lineRule="exact"/>
        <w:ind w:left="723" w:right="724"/>
        <w:jc w:val="center"/>
        <w:rPr>
          <w:sz w:val="20"/>
        </w:rPr>
      </w:pPr>
      <w:r>
        <w:rPr>
          <w:sz w:val="20"/>
        </w:rPr>
        <w:t>Registration</w:t>
      </w:r>
      <w:r>
        <w:rPr>
          <w:spacing w:val="-9"/>
          <w:sz w:val="20"/>
        </w:rPr>
        <w:t xml:space="preserve"> </w:t>
      </w:r>
      <w:r>
        <w:rPr>
          <w:sz w:val="20"/>
        </w:rPr>
        <w:t>number:</w:t>
      </w:r>
      <w:r>
        <w:rPr>
          <w:spacing w:val="-9"/>
          <w:sz w:val="20"/>
        </w:rPr>
        <w:t xml:space="preserve"> </w:t>
      </w:r>
      <w:r>
        <w:rPr>
          <w:sz w:val="20"/>
        </w:rPr>
        <w:t>0628829521</w:t>
      </w:r>
      <w:r>
        <w:rPr>
          <w:spacing w:val="-9"/>
          <w:sz w:val="20"/>
        </w:rPr>
        <w:t xml:space="preserve"> </w:t>
      </w:r>
      <w:r>
        <w:rPr>
          <w:sz w:val="20"/>
        </w:rPr>
        <w:t>RPR</w:t>
      </w:r>
      <w:r>
        <w:rPr>
          <w:spacing w:val="-6"/>
          <w:sz w:val="20"/>
        </w:rPr>
        <w:t xml:space="preserve"> </w:t>
      </w:r>
      <w:r>
        <w:rPr>
          <w:spacing w:val="-2"/>
          <w:sz w:val="20"/>
        </w:rPr>
        <w:t>Brussels</w:t>
      </w:r>
    </w:p>
    <w:p w14:paraId="63CDFA96" w14:textId="77777777" w:rsidR="00161C10" w:rsidRDefault="00161C10">
      <w:pPr>
        <w:spacing w:line="229" w:lineRule="exact"/>
        <w:jc w:val="center"/>
        <w:rPr>
          <w:sz w:val="20"/>
        </w:rPr>
        <w:sectPr w:rsidR="00161C10">
          <w:type w:val="continuous"/>
          <w:pgSz w:w="12240" w:h="15840"/>
          <w:pgMar w:top="720" w:right="1080" w:bottom="280" w:left="1080" w:header="720" w:footer="720" w:gutter="0"/>
          <w:cols w:space="720"/>
        </w:sectPr>
      </w:pPr>
    </w:p>
    <w:p w14:paraId="70134640" w14:textId="77777777" w:rsidR="00161C10" w:rsidRDefault="00CE2C8C">
      <w:pPr>
        <w:pStyle w:val="BodyText"/>
        <w:spacing w:before="81" w:line="276" w:lineRule="auto"/>
        <w:ind w:left="360" w:right="362"/>
        <w:jc w:val="both"/>
      </w:pPr>
      <w:r>
        <w:lastRenderedPageBreak/>
        <w:t>This</w:t>
      </w:r>
      <w:r>
        <w:rPr>
          <w:spacing w:val="-15"/>
        </w:rPr>
        <w:t xml:space="preserve"> </w:t>
      </w:r>
      <w:r>
        <w:t>Update</w:t>
      </w:r>
      <w:r>
        <w:rPr>
          <w:spacing w:val="-14"/>
        </w:rPr>
        <w:t xml:space="preserve"> </w:t>
      </w:r>
      <w:r>
        <w:t>to</w:t>
      </w:r>
      <w:r>
        <w:rPr>
          <w:spacing w:val="-14"/>
        </w:rPr>
        <w:t xml:space="preserve"> </w:t>
      </w:r>
      <w:r>
        <w:t>the</w:t>
      </w:r>
      <w:r>
        <w:rPr>
          <w:spacing w:val="-14"/>
        </w:rPr>
        <w:t xml:space="preserve"> </w:t>
      </w:r>
      <w:r>
        <w:t>Shadow</w:t>
      </w:r>
      <w:r>
        <w:rPr>
          <w:spacing w:val="-15"/>
        </w:rPr>
        <w:t xml:space="preserve"> </w:t>
      </w:r>
      <w:r>
        <w:t>report</w:t>
      </w:r>
      <w:r>
        <w:rPr>
          <w:spacing w:val="-15"/>
        </w:rPr>
        <w:t xml:space="preserve"> </w:t>
      </w:r>
      <w:r>
        <w:t>does</w:t>
      </w:r>
      <w:r>
        <w:rPr>
          <w:spacing w:val="-15"/>
        </w:rPr>
        <w:t xml:space="preserve"> </w:t>
      </w:r>
      <w:r>
        <w:t>not</w:t>
      </w:r>
      <w:r>
        <w:rPr>
          <w:spacing w:val="-14"/>
        </w:rPr>
        <w:t xml:space="preserve"> </w:t>
      </w:r>
      <w:r>
        <w:t>aim</w:t>
      </w:r>
      <w:r>
        <w:rPr>
          <w:spacing w:val="-14"/>
        </w:rPr>
        <w:t xml:space="preserve"> </w:t>
      </w:r>
      <w:r>
        <w:t>to</w:t>
      </w:r>
      <w:r>
        <w:rPr>
          <w:spacing w:val="-14"/>
        </w:rPr>
        <w:t xml:space="preserve"> </w:t>
      </w:r>
      <w:r>
        <w:t>be</w:t>
      </w:r>
      <w:r>
        <w:rPr>
          <w:spacing w:val="-14"/>
        </w:rPr>
        <w:t xml:space="preserve"> </w:t>
      </w:r>
      <w:r>
        <w:t>exhaustive,</w:t>
      </w:r>
      <w:r>
        <w:rPr>
          <w:spacing w:val="-14"/>
        </w:rPr>
        <w:t xml:space="preserve"> </w:t>
      </w:r>
      <w:r>
        <w:t>but</w:t>
      </w:r>
      <w:r>
        <w:rPr>
          <w:spacing w:val="-17"/>
        </w:rPr>
        <w:t xml:space="preserve"> </w:t>
      </w:r>
      <w:r>
        <w:t>to</w:t>
      </w:r>
      <w:r>
        <w:rPr>
          <w:spacing w:val="-14"/>
        </w:rPr>
        <w:t xml:space="preserve"> </w:t>
      </w:r>
      <w:r>
        <w:t>provide</w:t>
      </w:r>
      <w:r>
        <w:rPr>
          <w:spacing w:val="-14"/>
        </w:rPr>
        <w:t xml:space="preserve"> </w:t>
      </w:r>
      <w:r>
        <w:t>additional information in key areas of ENIL’s work.</w:t>
      </w:r>
    </w:p>
    <w:p w14:paraId="2E7AE576" w14:textId="77777777" w:rsidR="00161C10" w:rsidRDefault="00161C10">
      <w:pPr>
        <w:pStyle w:val="BodyText"/>
      </w:pPr>
    </w:p>
    <w:p w14:paraId="3BC19C09" w14:textId="77777777" w:rsidR="00161C10" w:rsidRDefault="00161C10">
      <w:pPr>
        <w:pStyle w:val="BodyText"/>
        <w:spacing w:before="4"/>
      </w:pPr>
    </w:p>
    <w:p w14:paraId="0D8BD9A4" w14:textId="77777777" w:rsidR="00161C10" w:rsidRDefault="00CE2C8C" w:rsidP="005B2E9B">
      <w:pPr>
        <w:pStyle w:val="Heading1"/>
      </w:pPr>
      <w:r>
        <w:t>Implementation</w:t>
      </w:r>
      <w:r>
        <w:rPr>
          <w:spacing w:val="-6"/>
        </w:rPr>
        <w:t xml:space="preserve"> </w:t>
      </w:r>
      <w:r>
        <w:t>of</w:t>
      </w:r>
      <w:r>
        <w:rPr>
          <w:spacing w:val="-8"/>
        </w:rPr>
        <w:t xml:space="preserve"> </w:t>
      </w:r>
      <w:r>
        <w:t>Article</w:t>
      </w:r>
      <w:r>
        <w:rPr>
          <w:spacing w:val="-6"/>
        </w:rPr>
        <w:t xml:space="preserve"> </w:t>
      </w:r>
      <w:r>
        <w:t>19</w:t>
      </w:r>
      <w:r>
        <w:rPr>
          <w:spacing w:val="-6"/>
        </w:rPr>
        <w:t xml:space="preserve"> </w:t>
      </w:r>
      <w:r>
        <w:t>in</w:t>
      </w:r>
      <w:r>
        <w:rPr>
          <w:spacing w:val="-8"/>
        </w:rPr>
        <w:t xml:space="preserve"> </w:t>
      </w:r>
      <w:r>
        <w:t>the</w:t>
      </w:r>
      <w:r>
        <w:rPr>
          <w:spacing w:val="-7"/>
        </w:rPr>
        <w:t xml:space="preserve"> </w:t>
      </w:r>
      <w:r>
        <w:t>European Union: lived experience of disabled people</w:t>
      </w:r>
    </w:p>
    <w:p w14:paraId="49293049" w14:textId="0BC65B05" w:rsidR="00161C10" w:rsidRDefault="00CE2C8C">
      <w:pPr>
        <w:pStyle w:val="BodyText"/>
        <w:spacing w:before="122" w:line="273" w:lineRule="auto"/>
        <w:ind w:left="360" w:right="357"/>
        <w:jc w:val="both"/>
      </w:pPr>
      <w:r>
        <w:t>In 2024, ENIL conducted a comprehensive survey to assess disabled people’s perceptions</w:t>
      </w:r>
      <w:r>
        <w:rPr>
          <w:spacing w:val="-3"/>
        </w:rPr>
        <w:t xml:space="preserve"> </w:t>
      </w:r>
      <w:r>
        <w:t>of</w:t>
      </w:r>
      <w:r>
        <w:rPr>
          <w:spacing w:val="-3"/>
        </w:rPr>
        <w:t xml:space="preserve"> </w:t>
      </w:r>
      <w:r>
        <w:t xml:space="preserve">their </w:t>
      </w:r>
      <w:hyperlink r:id="rId14">
        <w:r>
          <w:rPr>
            <w:color w:val="1154CC"/>
            <w:u w:val="single" w:color="1154CC"/>
          </w:rPr>
          <w:t>access</w:t>
        </w:r>
        <w:r>
          <w:rPr>
            <w:color w:val="1154CC"/>
            <w:spacing w:val="-1"/>
            <w:u w:val="single" w:color="1154CC"/>
          </w:rPr>
          <w:t xml:space="preserve"> </w:t>
        </w:r>
        <w:r>
          <w:rPr>
            <w:color w:val="1154CC"/>
            <w:u w:val="single" w:color="1154CC"/>
          </w:rPr>
          <w:t>to the</w:t>
        </w:r>
        <w:r>
          <w:rPr>
            <w:color w:val="1154CC"/>
            <w:spacing w:val="-2"/>
            <w:u w:val="single" w:color="1154CC"/>
          </w:rPr>
          <w:t xml:space="preserve"> </w:t>
        </w:r>
        <w:r>
          <w:rPr>
            <w:color w:val="1154CC"/>
            <w:u w:val="single" w:color="1154CC"/>
          </w:rPr>
          <w:t>right</w:t>
        </w:r>
        <w:r>
          <w:rPr>
            <w:color w:val="1154CC"/>
            <w:spacing w:val="-3"/>
            <w:u w:val="single" w:color="1154CC"/>
          </w:rPr>
          <w:t xml:space="preserve"> </w:t>
        </w:r>
        <w:r>
          <w:rPr>
            <w:color w:val="1154CC"/>
            <w:u w:val="single" w:color="1154CC"/>
          </w:rPr>
          <w:t>to Independent</w:t>
        </w:r>
        <w:r>
          <w:rPr>
            <w:color w:val="1154CC"/>
            <w:spacing w:val="-3"/>
            <w:u w:val="single" w:color="1154CC"/>
          </w:rPr>
          <w:t xml:space="preserve"> </w:t>
        </w:r>
        <w:r>
          <w:rPr>
            <w:color w:val="1154CC"/>
            <w:u w:val="single" w:color="1154CC"/>
          </w:rPr>
          <w:t>Living</w:t>
        </w:r>
      </w:hyperlink>
      <w:r>
        <w:rPr>
          <w:color w:val="1154CC"/>
        </w:rPr>
        <w:t xml:space="preserve"> </w:t>
      </w:r>
      <w:r>
        <w:t>(IL),</w:t>
      </w:r>
      <w:r>
        <w:rPr>
          <w:spacing w:val="-3"/>
        </w:rPr>
        <w:t xml:space="preserve"> </w:t>
      </w:r>
      <w:r>
        <w:t>as</w:t>
      </w:r>
      <w:r>
        <w:rPr>
          <w:spacing w:val="-1"/>
        </w:rPr>
        <w:t xml:space="preserve"> </w:t>
      </w:r>
      <w:r>
        <w:t>set</w:t>
      </w:r>
      <w:r>
        <w:rPr>
          <w:spacing w:val="-3"/>
        </w:rPr>
        <w:t xml:space="preserve"> </w:t>
      </w:r>
      <w:r>
        <w:t>out</w:t>
      </w:r>
      <w:r>
        <w:rPr>
          <w:spacing w:val="-3"/>
        </w:rPr>
        <w:t xml:space="preserve"> </w:t>
      </w:r>
      <w:r>
        <w:t>in</w:t>
      </w:r>
      <w:r>
        <w:rPr>
          <w:spacing w:val="-3"/>
        </w:rPr>
        <w:t xml:space="preserve"> </w:t>
      </w:r>
      <w:r>
        <w:t>Article</w:t>
      </w:r>
      <w:r>
        <w:rPr>
          <w:spacing w:val="-3"/>
        </w:rPr>
        <w:t xml:space="preserve"> </w:t>
      </w:r>
      <w:r>
        <w:t xml:space="preserve">19 </w:t>
      </w:r>
      <w:r w:rsidR="003D0DBD">
        <w:t>of the UN Convention on the Rights of Persons with Disabilities (UN</w:t>
      </w:r>
      <w:r>
        <w:t>CRPD</w:t>
      </w:r>
      <w:r w:rsidR="003D0DBD">
        <w:t>)</w:t>
      </w:r>
      <w:r>
        <w:t xml:space="preserve">, in their countries. The survey was based on the </w:t>
      </w:r>
      <w:hyperlink r:id="rId15">
        <w:r>
          <w:rPr>
            <w:color w:val="0000FF"/>
            <w:u w:val="single" w:color="0000FF"/>
          </w:rPr>
          <w:t>pillars of Independent Living</w:t>
        </w:r>
      </w:hyperlink>
      <w:hyperlink w:anchor="_bookmark1" w:history="1">
        <w:r>
          <w:rPr>
            <w:position w:val="8"/>
            <w:sz w:val="16"/>
          </w:rPr>
          <w:t>2</w:t>
        </w:r>
      </w:hyperlink>
      <w:r>
        <w:t>.</w:t>
      </w:r>
    </w:p>
    <w:p w14:paraId="4C2E33D7" w14:textId="77777777" w:rsidR="00161C10" w:rsidRDefault="00CE2C8C">
      <w:pPr>
        <w:pStyle w:val="BodyText"/>
        <w:spacing w:before="122" w:line="276" w:lineRule="auto"/>
        <w:ind w:left="360" w:right="354"/>
        <w:jc w:val="both"/>
      </w:pPr>
      <w:r>
        <w:t>The findings reveal significant dissatisfaction among disabled people living in the European</w:t>
      </w:r>
      <w:r>
        <w:rPr>
          <w:spacing w:val="-3"/>
        </w:rPr>
        <w:t xml:space="preserve"> </w:t>
      </w:r>
      <w:r>
        <w:t>Union</w:t>
      </w:r>
      <w:r>
        <w:rPr>
          <w:spacing w:val="-3"/>
        </w:rPr>
        <w:t xml:space="preserve"> </w:t>
      </w:r>
      <w:r>
        <w:t>with</w:t>
      </w:r>
      <w:r>
        <w:rPr>
          <w:spacing w:val="-3"/>
        </w:rPr>
        <w:t xml:space="preserve"> </w:t>
      </w:r>
      <w:r>
        <w:t>access</w:t>
      </w:r>
      <w:r>
        <w:rPr>
          <w:spacing w:val="-2"/>
        </w:rPr>
        <w:t xml:space="preserve"> </w:t>
      </w:r>
      <w:r>
        <w:t>to</w:t>
      </w:r>
      <w:r>
        <w:rPr>
          <w:spacing w:val="-3"/>
        </w:rPr>
        <w:t xml:space="preserve"> </w:t>
      </w:r>
      <w:r>
        <w:t>these</w:t>
      </w:r>
      <w:r>
        <w:rPr>
          <w:spacing w:val="-3"/>
        </w:rPr>
        <w:t xml:space="preserve"> </w:t>
      </w:r>
      <w:r>
        <w:t>pillars.</w:t>
      </w:r>
      <w:r>
        <w:rPr>
          <w:spacing w:val="-4"/>
        </w:rPr>
        <w:t xml:space="preserve"> </w:t>
      </w:r>
      <w:r>
        <w:t>Disabled</w:t>
      </w:r>
      <w:r>
        <w:rPr>
          <w:spacing w:val="-3"/>
        </w:rPr>
        <w:t xml:space="preserve"> </w:t>
      </w:r>
      <w:r>
        <w:t>people</w:t>
      </w:r>
      <w:r>
        <w:rPr>
          <w:spacing w:val="-1"/>
        </w:rPr>
        <w:t xml:space="preserve"> </w:t>
      </w:r>
      <w:r>
        <w:t>reported many</w:t>
      </w:r>
      <w:r>
        <w:rPr>
          <w:spacing w:val="-1"/>
        </w:rPr>
        <w:t xml:space="preserve"> </w:t>
      </w:r>
      <w:r>
        <w:t>challenges with communication support, access to the built environment, peer support, and accessible information. In these areas, rights are generally minimally guaranteed. While some legal or policy frameworks exist, their implementation is weak, enforcement is inconsistent, and barriers remain widespread.</w:t>
      </w:r>
    </w:p>
    <w:p w14:paraId="23879859" w14:textId="77777777" w:rsidR="00161C10" w:rsidRDefault="00CE2C8C">
      <w:pPr>
        <w:pStyle w:val="BodyText"/>
        <w:spacing w:before="122" w:line="276" w:lineRule="auto"/>
        <w:ind w:left="360" w:right="353"/>
        <w:jc w:val="both"/>
      </w:pPr>
      <w:r>
        <w:t>Across all the other pillars - such as personal assistance, housing, supported decision making, social protection and benefits, education, and employment - none of the rights are fully recognized or promoted. Most countries fall short of providing consistent frameworks</w:t>
      </w:r>
      <w:r>
        <w:rPr>
          <w:spacing w:val="-3"/>
        </w:rPr>
        <w:t xml:space="preserve"> </w:t>
      </w:r>
      <w:r>
        <w:t>for</w:t>
      </w:r>
      <w:r>
        <w:rPr>
          <w:spacing w:val="-3"/>
        </w:rPr>
        <w:t xml:space="preserve"> </w:t>
      </w:r>
      <w:r>
        <w:t>these</w:t>
      </w:r>
      <w:r>
        <w:rPr>
          <w:spacing w:val="-3"/>
        </w:rPr>
        <w:t xml:space="preserve"> </w:t>
      </w:r>
      <w:r>
        <w:t>rights,</w:t>
      </w:r>
      <w:r>
        <w:rPr>
          <w:spacing w:val="-5"/>
        </w:rPr>
        <w:t xml:space="preserve"> </w:t>
      </w:r>
      <w:r>
        <w:t>leaving</w:t>
      </w:r>
      <w:r>
        <w:rPr>
          <w:spacing w:val="-3"/>
        </w:rPr>
        <w:t xml:space="preserve"> </w:t>
      </w:r>
      <w:r>
        <w:t>disabled</w:t>
      </w:r>
      <w:r>
        <w:rPr>
          <w:spacing w:val="-5"/>
        </w:rPr>
        <w:t xml:space="preserve"> </w:t>
      </w:r>
      <w:r>
        <w:t>people</w:t>
      </w:r>
      <w:r>
        <w:rPr>
          <w:spacing w:val="-3"/>
        </w:rPr>
        <w:t xml:space="preserve"> </w:t>
      </w:r>
      <w:r>
        <w:t>in</w:t>
      </w:r>
      <w:r>
        <w:rPr>
          <w:spacing w:val="-5"/>
        </w:rPr>
        <w:t xml:space="preserve"> </w:t>
      </w:r>
      <w:r>
        <w:t>a</w:t>
      </w:r>
      <w:r>
        <w:rPr>
          <w:spacing w:val="-4"/>
        </w:rPr>
        <w:t xml:space="preserve"> </w:t>
      </w:r>
      <w:r>
        <w:t>precarious</w:t>
      </w:r>
      <w:r>
        <w:rPr>
          <w:spacing w:val="-8"/>
        </w:rPr>
        <w:t xml:space="preserve"> </w:t>
      </w:r>
      <w:r>
        <w:t>situation</w:t>
      </w:r>
      <w:r>
        <w:rPr>
          <w:spacing w:val="-3"/>
        </w:rPr>
        <w:t xml:space="preserve"> </w:t>
      </w:r>
      <w:r>
        <w:t>where</w:t>
      </w:r>
      <w:r>
        <w:rPr>
          <w:spacing w:val="-3"/>
        </w:rPr>
        <w:t xml:space="preserve"> </w:t>
      </w:r>
      <w:r>
        <w:t xml:space="preserve">only some can exercise their rights, while many </w:t>
      </w:r>
      <w:proofErr w:type="gramStart"/>
      <w:r>
        <w:t>face</w:t>
      </w:r>
      <w:proofErr w:type="gramEnd"/>
      <w:r>
        <w:t xml:space="preserve"> systemic barriers. The survey also revealed significant regional</w:t>
      </w:r>
      <w:r>
        <w:rPr>
          <w:spacing w:val="-1"/>
        </w:rPr>
        <w:t xml:space="preserve"> </w:t>
      </w:r>
      <w:r>
        <w:t>disparities</w:t>
      </w:r>
      <w:r>
        <w:rPr>
          <w:spacing w:val="-1"/>
        </w:rPr>
        <w:t xml:space="preserve"> </w:t>
      </w:r>
      <w:r>
        <w:t>and</w:t>
      </w:r>
      <w:r>
        <w:rPr>
          <w:spacing w:val="-2"/>
        </w:rPr>
        <w:t xml:space="preserve"> </w:t>
      </w:r>
      <w:r>
        <w:t>differences</w:t>
      </w:r>
      <w:r>
        <w:rPr>
          <w:spacing w:val="-1"/>
        </w:rPr>
        <w:t xml:space="preserve"> </w:t>
      </w:r>
      <w:r>
        <w:t>based</w:t>
      </w:r>
      <w:r>
        <w:rPr>
          <w:spacing w:val="-2"/>
        </w:rPr>
        <w:t xml:space="preserve"> </w:t>
      </w:r>
      <w:r>
        <w:t>on the type of impairment in many areas of life.</w:t>
      </w:r>
    </w:p>
    <w:p w14:paraId="23EC4E9F" w14:textId="77777777" w:rsidR="00161C10" w:rsidRDefault="00CE2C8C">
      <w:pPr>
        <w:pStyle w:val="BodyText"/>
        <w:spacing w:before="119" w:line="276" w:lineRule="auto"/>
        <w:ind w:left="360" w:right="353"/>
        <w:jc w:val="both"/>
      </w:pPr>
      <w:r>
        <w:t>Within the EU,</w:t>
      </w:r>
      <w:r>
        <w:rPr>
          <w:spacing w:val="-1"/>
        </w:rPr>
        <w:t xml:space="preserve"> </w:t>
      </w:r>
      <w:r>
        <w:t>the country where</w:t>
      </w:r>
      <w:r>
        <w:rPr>
          <w:spacing w:val="-1"/>
        </w:rPr>
        <w:t xml:space="preserve"> </w:t>
      </w:r>
      <w:r>
        <w:t>disabled people reported highest</w:t>
      </w:r>
      <w:r>
        <w:rPr>
          <w:spacing w:val="-2"/>
        </w:rPr>
        <w:t xml:space="preserve"> </w:t>
      </w:r>
      <w:r>
        <w:t>barriers was France, with</w:t>
      </w:r>
      <w:r>
        <w:rPr>
          <w:spacing w:val="-17"/>
        </w:rPr>
        <w:t xml:space="preserve"> </w:t>
      </w:r>
      <w:r>
        <w:t>a</w:t>
      </w:r>
      <w:r>
        <w:rPr>
          <w:spacing w:val="-17"/>
        </w:rPr>
        <w:t xml:space="preserve"> </w:t>
      </w:r>
      <w:r>
        <w:t>total</w:t>
      </w:r>
      <w:r>
        <w:rPr>
          <w:spacing w:val="-16"/>
        </w:rPr>
        <w:t xml:space="preserve"> </w:t>
      </w:r>
      <w:r>
        <w:t>score</w:t>
      </w:r>
      <w:r>
        <w:rPr>
          <w:spacing w:val="-17"/>
        </w:rPr>
        <w:t xml:space="preserve"> </w:t>
      </w:r>
      <w:r>
        <w:t>of</w:t>
      </w:r>
      <w:r>
        <w:rPr>
          <w:spacing w:val="-17"/>
        </w:rPr>
        <w:t xml:space="preserve"> </w:t>
      </w:r>
      <w:r>
        <w:t>1.3</w:t>
      </w:r>
      <w:r>
        <w:rPr>
          <w:spacing w:val="-17"/>
        </w:rPr>
        <w:t xml:space="preserve"> </w:t>
      </w:r>
      <w:r>
        <w:t>out</w:t>
      </w:r>
      <w:r>
        <w:rPr>
          <w:spacing w:val="-16"/>
        </w:rPr>
        <w:t xml:space="preserve"> </w:t>
      </w:r>
      <w:r>
        <w:t>of</w:t>
      </w:r>
      <w:r>
        <w:rPr>
          <w:spacing w:val="-17"/>
        </w:rPr>
        <w:t xml:space="preserve"> </w:t>
      </w:r>
      <w:r>
        <w:t>5,</w:t>
      </w:r>
      <w:r>
        <w:rPr>
          <w:spacing w:val="-17"/>
        </w:rPr>
        <w:t xml:space="preserve"> </w:t>
      </w:r>
      <w:r>
        <w:t>followed</w:t>
      </w:r>
      <w:r>
        <w:rPr>
          <w:spacing w:val="-16"/>
        </w:rPr>
        <w:t xml:space="preserve"> </w:t>
      </w:r>
      <w:r>
        <w:t>by</w:t>
      </w:r>
      <w:r>
        <w:rPr>
          <w:spacing w:val="-17"/>
        </w:rPr>
        <w:t xml:space="preserve"> </w:t>
      </w:r>
      <w:r>
        <w:t>Spain,</w:t>
      </w:r>
      <w:r>
        <w:rPr>
          <w:spacing w:val="-17"/>
        </w:rPr>
        <w:t xml:space="preserve"> </w:t>
      </w:r>
      <w:r>
        <w:t>with</w:t>
      </w:r>
      <w:r>
        <w:rPr>
          <w:spacing w:val="-16"/>
        </w:rPr>
        <w:t xml:space="preserve"> </w:t>
      </w:r>
      <w:r>
        <w:t>1.5,</w:t>
      </w:r>
      <w:r>
        <w:rPr>
          <w:spacing w:val="-17"/>
        </w:rPr>
        <w:t xml:space="preserve"> </w:t>
      </w:r>
      <w:r>
        <w:t>and</w:t>
      </w:r>
      <w:r>
        <w:rPr>
          <w:spacing w:val="-17"/>
        </w:rPr>
        <w:t xml:space="preserve"> </w:t>
      </w:r>
      <w:r>
        <w:t>Greece,</w:t>
      </w:r>
      <w:r>
        <w:rPr>
          <w:spacing w:val="-16"/>
        </w:rPr>
        <w:t xml:space="preserve"> </w:t>
      </w:r>
      <w:r>
        <w:t>with</w:t>
      </w:r>
      <w:r>
        <w:rPr>
          <w:spacing w:val="-17"/>
        </w:rPr>
        <w:t xml:space="preserve"> </w:t>
      </w:r>
      <w:r>
        <w:t>1.8.</w:t>
      </w:r>
      <w:r>
        <w:rPr>
          <w:spacing w:val="-17"/>
        </w:rPr>
        <w:t xml:space="preserve"> </w:t>
      </w:r>
      <w:r>
        <w:t>Instead, the EU countries that scored higher were Sweden, with a score of 2.9, Malta, with 2.85, and Luxembourg with 2.5.</w:t>
      </w:r>
    </w:p>
    <w:p w14:paraId="4463C6B4" w14:textId="096C7EA2" w:rsidR="00161C10" w:rsidRPr="003D0DBD" w:rsidRDefault="00CE2C8C" w:rsidP="003D0DBD">
      <w:pPr>
        <w:pStyle w:val="BodyText"/>
        <w:spacing w:before="120" w:line="276" w:lineRule="auto"/>
        <w:ind w:left="360" w:right="353"/>
        <w:jc w:val="both"/>
      </w:pPr>
      <w:r>
        <w:t xml:space="preserve">The survey findings reveal a concerning picture of what the state of independent living across the EU looks for disabled people, showing that even in countries with relatively higher scores, significant gaps persist in the protection and implementation of crucial rights. It is evident that systemic issues need to be addressed, such as a lack of awareness of the </w:t>
      </w:r>
      <w:r w:rsidR="003D0DBD">
        <w:t>UN</w:t>
      </w:r>
      <w:r>
        <w:t xml:space="preserve">CRPD, insufficient co-production, and weak deinstitutionalisation </w:t>
      </w:r>
      <w:r>
        <w:rPr>
          <w:spacing w:val="-2"/>
        </w:rPr>
        <w:t>efforts.</w:t>
      </w:r>
    </w:p>
    <w:p w14:paraId="42CACF51" w14:textId="77777777" w:rsidR="00161C10" w:rsidRDefault="00161C10">
      <w:pPr>
        <w:pStyle w:val="BodyText"/>
        <w:rPr>
          <w:sz w:val="20"/>
        </w:rPr>
      </w:pPr>
    </w:p>
    <w:p w14:paraId="79802DCA" w14:textId="77777777" w:rsidR="00161C10" w:rsidRDefault="00CE2C8C">
      <w:pPr>
        <w:pStyle w:val="BodyText"/>
        <w:spacing w:before="5"/>
        <w:rPr>
          <w:sz w:val="20"/>
        </w:rPr>
      </w:pPr>
      <w:r>
        <w:rPr>
          <w:noProof/>
          <w:sz w:val="20"/>
        </w:rPr>
        <mc:AlternateContent>
          <mc:Choice Requires="wps">
            <w:drawing>
              <wp:anchor distT="0" distB="0" distL="0" distR="0" simplePos="0" relativeHeight="487588352" behindDoc="1" locked="0" layoutInCell="1" allowOverlap="1" wp14:anchorId="054497F4" wp14:editId="338631D9">
                <wp:simplePos x="0" y="0"/>
                <wp:positionH relativeFrom="page">
                  <wp:posOffset>914704</wp:posOffset>
                </wp:positionH>
                <wp:positionV relativeFrom="paragraph">
                  <wp:posOffset>164496</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C8451A" id="Graphic 4" o:spid="_x0000_s1026" style="position:absolute;margin-left:1in;margin-top:12.9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" path="m1829054,l,,,7619r1829054,l1829054,xe" fillcolor="black" stroked="f">
                <v:path arrowok="t"/>
                <w10:wrap type="topAndBottom" anchorx="page"/>
              </v:shape>
            </w:pict>
          </mc:Fallback>
        </mc:AlternateContent>
      </w:r>
    </w:p>
    <w:p w14:paraId="456996A5" w14:textId="77777777" w:rsidR="00161C10" w:rsidRDefault="00CE2C8C">
      <w:pPr>
        <w:spacing w:before="93"/>
        <w:ind w:left="360" w:right="377"/>
        <w:rPr>
          <w:sz w:val="20"/>
        </w:rPr>
      </w:pPr>
      <w:bookmarkStart w:id="1" w:name="_bookmark1"/>
      <w:bookmarkEnd w:id="1"/>
      <w:r>
        <w:rPr>
          <w:position w:val="6"/>
          <w:sz w:val="13"/>
        </w:rPr>
        <w:t>2</w:t>
      </w:r>
      <w:r>
        <w:rPr>
          <w:spacing w:val="27"/>
          <w:position w:val="6"/>
          <w:sz w:val="13"/>
        </w:rPr>
        <w:t xml:space="preserve"> </w:t>
      </w:r>
      <w:r>
        <w:rPr>
          <w:sz w:val="20"/>
        </w:rPr>
        <w:t>These are: communication support; personal assistance; social, political and judicial participation; access</w:t>
      </w:r>
      <w:r>
        <w:rPr>
          <w:spacing w:val="-4"/>
          <w:sz w:val="20"/>
        </w:rPr>
        <w:t xml:space="preserve"> </w:t>
      </w:r>
      <w:r>
        <w:rPr>
          <w:sz w:val="20"/>
        </w:rPr>
        <w:t>to</w:t>
      </w:r>
      <w:r>
        <w:rPr>
          <w:spacing w:val="-6"/>
          <w:sz w:val="20"/>
        </w:rPr>
        <w:t xml:space="preserve"> </w:t>
      </w:r>
      <w:r>
        <w:rPr>
          <w:sz w:val="20"/>
        </w:rPr>
        <w:t>the</w:t>
      </w:r>
      <w:r>
        <w:rPr>
          <w:spacing w:val="-3"/>
          <w:sz w:val="20"/>
        </w:rPr>
        <w:t xml:space="preserve"> </w:t>
      </w:r>
      <w:r>
        <w:rPr>
          <w:sz w:val="20"/>
        </w:rPr>
        <w:t>built</w:t>
      </w:r>
      <w:r>
        <w:rPr>
          <w:spacing w:val="-3"/>
          <w:sz w:val="20"/>
        </w:rPr>
        <w:t xml:space="preserve"> </w:t>
      </w:r>
      <w:r>
        <w:rPr>
          <w:sz w:val="20"/>
        </w:rPr>
        <w:t>environment;</w:t>
      </w:r>
      <w:r>
        <w:rPr>
          <w:spacing w:val="-3"/>
          <w:sz w:val="20"/>
        </w:rPr>
        <w:t xml:space="preserve"> </w:t>
      </w:r>
      <w:r>
        <w:rPr>
          <w:sz w:val="20"/>
        </w:rPr>
        <w:t>inclusive</w:t>
      </w:r>
      <w:r>
        <w:rPr>
          <w:spacing w:val="-3"/>
          <w:sz w:val="20"/>
        </w:rPr>
        <w:t xml:space="preserve"> </w:t>
      </w:r>
      <w:r>
        <w:rPr>
          <w:sz w:val="20"/>
        </w:rPr>
        <w:t>education</w:t>
      </w:r>
      <w:r>
        <w:rPr>
          <w:spacing w:val="-5"/>
          <w:sz w:val="20"/>
        </w:rPr>
        <w:t xml:space="preserve"> </w:t>
      </w:r>
      <w:r>
        <w:rPr>
          <w:sz w:val="20"/>
        </w:rPr>
        <w:t>and</w:t>
      </w:r>
      <w:r>
        <w:rPr>
          <w:spacing w:val="-6"/>
          <w:sz w:val="20"/>
        </w:rPr>
        <w:t xml:space="preserve"> </w:t>
      </w:r>
      <w:r>
        <w:rPr>
          <w:sz w:val="20"/>
        </w:rPr>
        <w:t>lifelong</w:t>
      </w:r>
      <w:r>
        <w:rPr>
          <w:spacing w:val="-4"/>
          <w:sz w:val="20"/>
        </w:rPr>
        <w:t xml:space="preserve"> </w:t>
      </w:r>
      <w:r>
        <w:rPr>
          <w:sz w:val="20"/>
        </w:rPr>
        <w:t>learning;</w:t>
      </w:r>
      <w:r>
        <w:rPr>
          <w:spacing w:val="-5"/>
          <w:sz w:val="20"/>
        </w:rPr>
        <w:t xml:space="preserve"> </w:t>
      </w:r>
      <w:r>
        <w:rPr>
          <w:sz w:val="20"/>
        </w:rPr>
        <w:t>accessible</w:t>
      </w:r>
      <w:r>
        <w:rPr>
          <w:spacing w:val="-5"/>
          <w:sz w:val="20"/>
        </w:rPr>
        <w:t xml:space="preserve"> </w:t>
      </w:r>
      <w:r>
        <w:rPr>
          <w:sz w:val="20"/>
        </w:rPr>
        <w:t>transport;</w:t>
      </w:r>
      <w:r>
        <w:rPr>
          <w:spacing w:val="-5"/>
          <w:sz w:val="20"/>
        </w:rPr>
        <w:t xml:space="preserve"> </w:t>
      </w:r>
      <w:r>
        <w:rPr>
          <w:sz w:val="20"/>
        </w:rPr>
        <w:t>advocacy; accessible housing; social protection and benefits; legal capacity and supported decision-making; information; peer support; employment; accessible and inclusive healthcare; and assistive technologies.</w:t>
      </w:r>
    </w:p>
    <w:p w14:paraId="7EC4FFF2" w14:textId="77777777" w:rsidR="00161C10" w:rsidRDefault="00161C10">
      <w:pPr>
        <w:rPr>
          <w:sz w:val="20"/>
        </w:rPr>
        <w:sectPr w:rsidR="00161C10">
          <w:footerReference w:type="default" r:id="rId16"/>
          <w:pgSz w:w="12240" w:h="15840"/>
          <w:pgMar w:top="1360" w:right="1080" w:bottom="1460" w:left="1080" w:header="0" w:footer="1274" w:gutter="0"/>
          <w:pgNumType w:start="2"/>
          <w:cols w:space="720"/>
        </w:sectPr>
      </w:pPr>
    </w:p>
    <w:p w14:paraId="37E7B8D6" w14:textId="77777777" w:rsidR="00731679" w:rsidRDefault="00CE2C8C">
      <w:pPr>
        <w:pStyle w:val="BodyText"/>
        <w:spacing w:before="81" w:line="276" w:lineRule="auto"/>
        <w:ind w:left="360" w:right="354"/>
        <w:jc w:val="both"/>
      </w:pPr>
      <w:r>
        <w:lastRenderedPageBreak/>
        <w:t>In</w:t>
      </w:r>
      <w:r>
        <w:rPr>
          <w:spacing w:val="-4"/>
        </w:rPr>
        <w:t xml:space="preserve"> </w:t>
      </w:r>
      <w:r>
        <w:t>this</w:t>
      </w:r>
      <w:r>
        <w:rPr>
          <w:spacing w:val="-6"/>
        </w:rPr>
        <w:t xml:space="preserve"> </w:t>
      </w:r>
      <w:r>
        <w:t>respect,</w:t>
      </w:r>
      <w:r>
        <w:rPr>
          <w:spacing w:val="-5"/>
        </w:rPr>
        <w:t xml:space="preserve"> </w:t>
      </w:r>
      <w:r>
        <w:t>the</w:t>
      </w:r>
      <w:r>
        <w:rPr>
          <w:spacing w:val="-3"/>
        </w:rPr>
        <w:t xml:space="preserve"> </w:t>
      </w:r>
      <w:hyperlink r:id="rId17">
        <w:proofErr w:type="spellStart"/>
        <w:r>
          <w:rPr>
            <w:color w:val="1154CC"/>
            <w:u w:val="single" w:color="1154CC"/>
          </w:rPr>
          <w:t>Eurofound</w:t>
        </w:r>
        <w:proofErr w:type="spellEnd"/>
        <w:r>
          <w:rPr>
            <w:color w:val="1154CC"/>
            <w:spacing w:val="-5"/>
            <w:u w:val="single" w:color="1154CC"/>
          </w:rPr>
          <w:t xml:space="preserve"> </w:t>
        </w:r>
        <w:r>
          <w:rPr>
            <w:color w:val="1154CC"/>
            <w:u w:val="single" w:color="1154CC"/>
          </w:rPr>
          <w:t>report</w:t>
        </w:r>
        <w:r>
          <w:rPr>
            <w:color w:val="1154CC"/>
            <w:spacing w:val="-6"/>
            <w:u w:val="single" w:color="1154CC"/>
          </w:rPr>
          <w:t xml:space="preserve"> </w:t>
        </w:r>
        <w:r>
          <w:rPr>
            <w:color w:val="1154CC"/>
            <w:u w:val="single" w:color="1154CC"/>
          </w:rPr>
          <w:t>on</w:t>
        </w:r>
        <w:r>
          <w:rPr>
            <w:color w:val="1154CC"/>
            <w:spacing w:val="-5"/>
            <w:u w:val="single" w:color="1154CC"/>
          </w:rPr>
          <w:t xml:space="preserve"> </w:t>
        </w:r>
        <w:r>
          <w:rPr>
            <w:color w:val="1154CC"/>
            <w:u w:val="single" w:color="1154CC"/>
          </w:rPr>
          <w:t>independent</w:t>
        </w:r>
        <w:r>
          <w:rPr>
            <w:color w:val="1154CC"/>
            <w:spacing w:val="-5"/>
            <w:u w:val="single" w:color="1154CC"/>
          </w:rPr>
          <w:t xml:space="preserve"> </w:t>
        </w:r>
        <w:r>
          <w:rPr>
            <w:color w:val="1154CC"/>
            <w:u w:val="single" w:color="1154CC"/>
          </w:rPr>
          <w:t>living</w:t>
        </w:r>
      </w:hyperlink>
      <w:r>
        <w:t>,</w:t>
      </w:r>
      <w:r>
        <w:rPr>
          <w:spacing w:val="-7"/>
        </w:rPr>
        <w:t xml:space="preserve"> </w:t>
      </w:r>
      <w:r>
        <w:t>published</w:t>
      </w:r>
      <w:r>
        <w:rPr>
          <w:spacing w:val="-5"/>
        </w:rPr>
        <w:t xml:space="preserve"> </w:t>
      </w:r>
      <w:r>
        <w:t>in</w:t>
      </w:r>
      <w:r>
        <w:rPr>
          <w:spacing w:val="-5"/>
        </w:rPr>
        <w:t xml:space="preserve"> </w:t>
      </w:r>
      <w:r>
        <w:t>2024,</w:t>
      </w:r>
      <w:r>
        <w:rPr>
          <w:spacing w:val="-5"/>
        </w:rPr>
        <w:t xml:space="preserve"> </w:t>
      </w:r>
      <w:r>
        <w:t>found</w:t>
      </w:r>
      <w:r>
        <w:rPr>
          <w:spacing w:val="-5"/>
        </w:rPr>
        <w:t xml:space="preserve"> </w:t>
      </w:r>
      <w:r>
        <w:t>that the number of children in residential institutions increased in 11 Member States. Taken together “</w:t>
      </w:r>
      <w:r>
        <w:rPr>
          <w:rFonts w:ascii="Arial" w:hAnsi="Arial"/>
          <w:i/>
        </w:rPr>
        <w:t>across the 25 Member States where comparison over time is possible, the number</w:t>
      </w:r>
      <w:r>
        <w:rPr>
          <w:rFonts w:ascii="Arial" w:hAnsi="Arial"/>
          <w:i/>
          <w:spacing w:val="-17"/>
        </w:rPr>
        <w:t xml:space="preserve"> </w:t>
      </w:r>
      <w:r>
        <w:rPr>
          <w:rFonts w:ascii="Arial" w:hAnsi="Arial"/>
          <w:i/>
        </w:rPr>
        <w:t>of</w:t>
      </w:r>
      <w:r>
        <w:rPr>
          <w:rFonts w:ascii="Arial" w:hAnsi="Arial"/>
          <w:i/>
          <w:spacing w:val="-17"/>
        </w:rPr>
        <w:t xml:space="preserve"> </w:t>
      </w:r>
      <w:r>
        <w:rPr>
          <w:rFonts w:ascii="Arial" w:hAnsi="Arial"/>
          <w:i/>
        </w:rPr>
        <w:t>children</w:t>
      </w:r>
      <w:r>
        <w:rPr>
          <w:rFonts w:ascii="Arial" w:hAnsi="Arial"/>
          <w:i/>
          <w:spacing w:val="-16"/>
        </w:rPr>
        <w:t xml:space="preserve"> </w:t>
      </w:r>
      <w:r>
        <w:rPr>
          <w:rFonts w:ascii="Arial" w:hAnsi="Arial"/>
          <w:i/>
        </w:rPr>
        <w:t>in</w:t>
      </w:r>
      <w:r>
        <w:rPr>
          <w:rFonts w:ascii="Arial" w:hAnsi="Arial"/>
          <w:i/>
          <w:spacing w:val="-17"/>
        </w:rPr>
        <w:t xml:space="preserve"> </w:t>
      </w:r>
      <w:r>
        <w:rPr>
          <w:rFonts w:ascii="Arial" w:hAnsi="Arial"/>
          <w:i/>
        </w:rPr>
        <w:t>residential</w:t>
      </w:r>
      <w:r>
        <w:rPr>
          <w:rFonts w:ascii="Arial" w:hAnsi="Arial"/>
          <w:i/>
          <w:spacing w:val="-17"/>
        </w:rPr>
        <w:t xml:space="preserve"> </w:t>
      </w:r>
      <w:r>
        <w:rPr>
          <w:rFonts w:ascii="Arial" w:hAnsi="Arial"/>
          <w:i/>
        </w:rPr>
        <w:t>care</w:t>
      </w:r>
      <w:r>
        <w:rPr>
          <w:rFonts w:ascii="Arial" w:hAnsi="Arial"/>
          <w:i/>
          <w:spacing w:val="-17"/>
        </w:rPr>
        <w:t xml:space="preserve"> </w:t>
      </w:r>
      <w:r>
        <w:rPr>
          <w:rFonts w:ascii="Arial" w:hAnsi="Arial"/>
          <w:i/>
        </w:rPr>
        <w:t>is</w:t>
      </w:r>
      <w:r>
        <w:rPr>
          <w:rFonts w:ascii="Arial" w:hAnsi="Arial"/>
          <w:i/>
          <w:spacing w:val="-16"/>
        </w:rPr>
        <w:t xml:space="preserve"> </w:t>
      </w:r>
      <w:r>
        <w:rPr>
          <w:rFonts w:ascii="Arial" w:hAnsi="Arial"/>
          <w:i/>
        </w:rPr>
        <w:t>estimated</w:t>
      </w:r>
      <w:r>
        <w:rPr>
          <w:rFonts w:ascii="Arial" w:hAnsi="Arial"/>
          <w:i/>
          <w:spacing w:val="-17"/>
        </w:rPr>
        <w:t xml:space="preserve"> </w:t>
      </w:r>
      <w:r>
        <w:rPr>
          <w:rFonts w:ascii="Arial" w:hAnsi="Arial"/>
          <w:i/>
        </w:rPr>
        <w:t>to</w:t>
      </w:r>
      <w:r>
        <w:rPr>
          <w:rFonts w:ascii="Arial" w:hAnsi="Arial"/>
          <w:i/>
          <w:spacing w:val="-17"/>
        </w:rPr>
        <w:t xml:space="preserve"> </w:t>
      </w:r>
      <w:r>
        <w:rPr>
          <w:rFonts w:ascii="Arial" w:hAnsi="Arial"/>
          <w:i/>
        </w:rPr>
        <w:t>have</w:t>
      </w:r>
      <w:r>
        <w:rPr>
          <w:rFonts w:ascii="Arial" w:hAnsi="Arial"/>
          <w:i/>
          <w:spacing w:val="-16"/>
        </w:rPr>
        <w:t xml:space="preserve"> </w:t>
      </w:r>
      <w:r>
        <w:rPr>
          <w:rFonts w:ascii="Arial" w:hAnsi="Arial"/>
          <w:i/>
        </w:rPr>
        <w:t>increased</w:t>
      </w:r>
      <w:r>
        <w:rPr>
          <w:rFonts w:ascii="Arial" w:hAnsi="Arial"/>
          <w:i/>
          <w:spacing w:val="-17"/>
        </w:rPr>
        <w:t xml:space="preserve"> </w:t>
      </w:r>
      <w:r>
        <w:rPr>
          <w:rFonts w:ascii="Arial" w:hAnsi="Arial"/>
          <w:i/>
        </w:rPr>
        <w:t>by</w:t>
      </w:r>
      <w:r>
        <w:rPr>
          <w:rFonts w:ascii="Arial" w:hAnsi="Arial"/>
          <w:i/>
          <w:spacing w:val="-17"/>
        </w:rPr>
        <w:t xml:space="preserve"> </w:t>
      </w:r>
      <w:r>
        <w:rPr>
          <w:rFonts w:ascii="Arial" w:hAnsi="Arial"/>
          <w:i/>
        </w:rPr>
        <w:t>14%</w:t>
      </w:r>
      <w:r>
        <w:t>”.</w:t>
      </w:r>
      <w:r>
        <w:rPr>
          <w:spacing w:val="-16"/>
        </w:rPr>
        <w:t xml:space="preserve"> </w:t>
      </w:r>
      <w:proofErr w:type="gramStart"/>
      <w:r>
        <w:t>With</w:t>
      </w:r>
      <w:r>
        <w:rPr>
          <w:spacing w:val="-17"/>
        </w:rPr>
        <w:t xml:space="preserve"> </w:t>
      </w:r>
      <w:r>
        <w:t>regard to</w:t>
      </w:r>
      <w:proofErr w:type="gramEnd"/>
      <w:r>
        <w:rPr>
          <w:spacing w:val="-3"/>
        </w:rPr>
        <w:t xml:space="preserve"> </w:t>
      </w:r>
      <w:r>
        <w:t>adults,</w:t>
      </w:r>
      <w:r>
        <w:rPr>
          <w:spacing w:val="-4"/>
        </w:rPr>
        <w:t xml:space="preserve"> </w:t>
      </w:r>
      <w:r>
        <w:t>the</w:t>
      </w:r>
      <w:r>
        <w:rPr>
          <w:spacing w:val="-4"/>
        </w:rPr>
        <w:t xml:space="preserve"> </w:t>
      </w:r>
      <w:r>
        <w:t>number</w:t>
      </w:r>
      <w:r>
        <w:rPr>
          <w:spacing w:val="-5"/>
        </w:rPr>
        <w:t xml:space="preserve"> </w:t>
      </w:r>
      <w:r>
        <w:t>of</w:t>
      </w:r>
      <w:r>
        <w:rPr>
          <w:spacing w:val="-4"/>
        </w:rPr>
        <w:t xml:space="preserve"> </w:t>
      </w:r>
      <w:r>
        <w:t>people</w:t>
      </w:r>
      <w:r>
        <w:rPr>
          <w:spacing w:val="-4"/>
        </w:rPr>
        <w:t xml:space="preserve"> </w:t>
      </w:r>
      <w:r>
        <w:t>in</w:t>
      </w:r>
      <w:r>
        <w:rPr>
          <w:spacing w:val="-4"/>
        </w:rPr>
        <w:t xml:space="preserve"> </w:t>
      </w:r>
      <w:r>
        <w:t>residential</w:t>
      </w:r>
      <w:r>
        <w:rPr>
          <w:spacing w:val="-5"/>
        </w:rPr>
        <w:t xml:space="preserve"> </w:t>
      </w:r>
      <w:r>
        <w:t>institutions</w:t>
      </w:r>
      <w:r>
        <w:rPr>
          <w:spacing w:val="-4"/>
        </w:rPr>
        <w:t xml:space="preserve"> </w:t>
      </w:r>
      <w:r>
        <w:t>increased</w:t>
      </w:r>
      <w:r>
        <w:rPr>
          <w:spacing w:val="-4"/>
        </w:rPr>
        <w:t xml:space="preserve"> </w:t>
      </w:r>
      <w:r>
        <w:t>in</w:t>
      </w:r>
      <w:r>
        <w:rPr>
          <w:spacing w:val="-6"/>
        </w:rPr>
        <w:t xml:space="preserve"> </w:t>
      </w:r>
      <w:r>
        <w:t>13</w:t>
      </w:r>
      <w:r>
        <w:rPr>
          <w:spacing w:val="-4"/>
        </w:rPr>
        <w:t xml:space="preserve"> </w:t>
      </w:r>
      <w:r>
        <w:t>Member</w:t>
      </w:r>
      <w:r>
        <w:rPr>
          <w:spacing w:val="-5"/>
        </w:rPr>
        <w:t xml:space="preserve"> </w:t>
      </w:r>
      <w:r>
        <w:t xml:space="preserve">States, and the overall number across 24 Member States increased by 29%. </w:t>
      </w:r>
      <w:proofErr w:type="gramStart"/>
      <w:r>
        <w:t>A majority of</w:t>
      </w:r>
      <w:proofErr w:type="gramEnd"/>
      <w:r>
        <w:t xml:space="preserve"> Member</w:t>
      </w:r>
      <w:r>
        <w:rPr>
          <w:spacing w:val="-7"/>
        </w:rPr>
        <w:t xml:space="preserve"> </w:t>
      </w:r>
      <w:r>
        <w:t>States</w:t>
      </w:r>
      <w:r>
        <w:rPr>
          <w:spacing w:val="-7"/>
        </w:rPr>
        <w:t xml:space="preserve"> </w:t>
      </w:r>
      <w:r>
        <w:t>(19</w:t>
      </w:r>
      <w:r>
        <w:rPr>
          <w:spacing w:val="-8"/>
        </w:rPr>
        <w:t xml:space="preserve"> </w:t>
      </w:r>
      <w:r>
        <w:t>out</w:t>
      </w:r>
      <w:r>
        <w:rPr>
          <w:spacing w:val="-9"/>
        </w:rPr>
        <w:t xml:space="preserve"> </w:t>
      </w:r>
      <w:r>
        <w:t>of</w:t>
      </w:r>
      <w:r>
        <w:rPr>
          <w:spacing w:val="-6"/>
        </w:rPr>
        <w:t xml:space="preserve"> </w:t>
      </w:r>
      <w:r>
        <w:t>27)</w:t>
      </w:r>
      <w:r>
        <w:rPr>
          <w:spacing w:val="-8"/>
        </w:rPr>
        <w:t xml:space="preserve"> </w:t>
      </w:r>
      <w:r>
        <w:t>have</w:t>
      </w:r>
      <w:r>
        <w:rPr>
          <w:spacing w:val="-9"/>
        </w:rPr>
        <w:t xml:space="preserve"> </w:t>
      </w:r>
      <w:r>
        <w:t>more</w:t>
      </w:r>
      <w:r>
        <w:rPr>
          <w:spacing w:val="-8"/>
        </w:rPr>
        <w:t xml:space="preserve"> </w:t>
      </w:r>
      <w:r>
        <w:t>older</w:t>
      </w:r>
      <w:r>
        <w:rPr>
          <w:spacing w:val="-8"/>
        </w:rPr>
        <w:t xml:space="preserve"> </w:t>
      </w:r>
      <w:r>
        <w:t>people</w:t>
      </w:r>
      <w:r>
        <w:rPr>
          <w:spacing w:val="-10"/>
        </w:rPr>
        <w:t xml:space="preserve"> </w:t>
      </w:r>
      <w:r>
        <w:t>in</w:t>
      </w:r>
      <w:r>
        <w:rPr>
          <w:spacing w:val="-7"/>
        </w:rPr>
        <w:t xml:space="preserve"> </w:t>
      </w:r>
      <w:r>
        <w:t>residential</w:t>
      </w:r>
      <w:r>
        <w:rPr>
          <w:spacing w:val="-8"/>
        </w:rPr>
        <w:t xml:space="preserve"> </w:t>
      </w:r>
      <w:r>
        <w:t>care than</w:t>
      </w:r>
      <w:r>
        <w:rPr>
          <w:spacing w:val="-7"/>
        </w:rPr>
        <w:t xml:space="preserve"> </w:t>
      </w:r>
      <w:r>
        <w:t>in</w:t>
      </w:r>
      <w:r>
        <w:rPr>
          <w:spacing w:val="-7"/>
        </w:rPr>
        <w:t xml:space="preserve"> </w:t>
      </w:r>
      <w:r>
        <w:t>the</w:t>
      </w:r>
      <w:r>
        <w:rPr>
          <w:spacing w:val="-9"/>
        </w:rPr>
        <w:t xml:space="preserve"> </w:t>
      </w:r>
      <w:r>
        <w:t xml:space="preserve">past, while the same number report a reduction in the number of people with mental health conditions in hospital care. </w:t>
      </w:r>
    </w:p>
    <w:p w14:paraId="669BD61B" w14:textId="2BFAB2BD" w:rsidR="00161C10" w:rsidRDefault="00CE2C8C">
      <w:pPr>
        <w:pStyle w:val="BodyText"/>
        <w:spacing w:before="81" w:line="276" w:lineRule="auto"/>
        <w:ind w:left="360" w:right="354"/>
        <w:jc w:val="both"/>
      </w:pPr>
      <w:r>
        <w:t xml:space="preserve">The </w:t>
      </w:r>
      <w:proofErr w:type="spellStart"/>
      <w:r>
        <w:t>Eurofound</w:t>
      </w:r>
      <w:proofErr w:type="spellEnd"/>
      <w:r>
        <w:t xml:space="preserve"> report acknowledges that the concept of a residential institution is not well defined or uniform across countries, or even within the countries</w:t>
      </w:r>
      <w:r>
        <w:rPr>
          <w:spacing w:val="-8"/>
        </w:rPr>
        <w:t xml:space="preserve"> </w:t>
      </w:r>
      <w:r>
        <w:t>over</w:t>
      </w:r>
      <w:r>
        <w:rPr>
          <w:spacing w:val="-6"/>
        </w:rPr>
        <w:t xml:space="preserve"> </w:t>
      </w:r>
      <w:r>
        <w:t>time.</w:t>
      </w:r>
      <w:r>
        <w:rPr>
          <w:spacing w:val="-5"/>
        </w:rPr>
        <w:t xml:space="preserve"> </w:t>
      </w:r>
      <w:r>
        <w:t>ENIL</w:t>
      </w:r>
      <w:r>
        <w:rPr>
          <w:spacing w:val="-5"/>
        </w:rPr>
        <w:t xml:space="preserve"> </w:t>
      </w:r>
      <w:r>
        <w:t>is</w:t>
      </w:r>
      <w:r>
        <w:rPr>
          <w:spacing w:val="-6"/>
        </w:rPr>
        <w:t xml:space="preserve"> </w:t>
      </w:r>
      <w:r>
        <w:t>therefore</w:t>
      </w:r>
      <w:r>
        <w:rPr>
          <w:spacing w:val="-8"/>
        </w:rPr>
        <w:t xml:space="preserve"> </w:t>
      </w:r>
      <w:r>
        <w:t>concerned</w:t>
      </w:r>
      <w:r>
        <w:rPr>
          <w:spacing w:val="-7"/>
        </w:rPr>
        <w:t xml:space="preserve"> </w:t>
      </w:r>
      <w:r>
        <w:t>that</w:t>
      </w:r>
      <w:r>
        <w:rPr>
          <w:spacing w:val="-5"/>
        </w:rPr>
        <w:t xml:space="preserve"> </w:t>
      </w:r>
      <w:r>
        <w:t>the</w:t>
      </w:r>
      <w:r>
        <w:rPr>
          <w:spacing w:val="-5"/>
        </w:rPr>
        <w:t xml:space="preserve"> </w:t>
      </w:r>
      <w:r>
        <w:t>countries</w:t>
      </w:r>
      <w:r>
        <w:rPr>
          <w:spacing w:val="-5"/>
        </w:rPr>
        <w:t xml:space="preserve"> </w:t>
      </w:r>
      <w:r>
        <w:t>that</w:t>
      </w:r>
      <w:r>
        <w:rPr>
          <w:spacing w:val="-5"/>
        </w:rPr>
        <w:t xml:space="preserve"> </w:t>
      </w:r>
      <w:r>
        <w:t>report</w:t>
      </w:r>
      <w:r>
        <w:rPr>
          <w:spacing w:val="-8"/>
        </w:rPr>
        <w:t xml:space="preserve"> </w:t>
      </w:r>
      <w:r>
        <w:t>decreases in the number of children or adults in institutions - particularly Bulgaria, Lithuania, Romania, Greece, Poland, Portugal, Slovenia, Hungary, Estonia, Czechia, Slovakia, Latvia, Spain and Croatia - have mostly replaced large institutions with other types of segregated settings. Europe,</w:t>
      </w:r>
      <w:r>
        <w:rPr>
          <w:spacing w:val="-3"/>
        </w:rPr>
        <w:t xml:space="preserve"> </w:t>
      </w:r>
      <w:r>
        <w:t>and the EU,</w:t>
      </w:r>
      <w:r>
        <w:rPr>
          <w:spacing w:val="-1"/>
        </w:rPr>
        <w:t xml:space="preserve"> </w:t>
      </w:r>
      <w:r>
        <w:t>remains</w:t>
      </w:r>
      <w:r>
        <w:rPr>
          <w:spacing w:val="-1"/>
        </w:rPr>
        <w:t xml:space="preserve"> </w:t>
      </w:r>
      <w:r>
        <w:t>a</w:t>
      </w:r>
      <w:r>
        <w:rPr>
          <w:spacing w:val="-2"/>
        </w:rPr>
        <w:t xml:space="preserve"> </w:t>
      </w:r>
      <w:r>
        <w:t>continent with the highest number of disabled children and adults in institutional settings.</w:t>
      </w:r>
    </w:p>
    <w:p w14:paraId="0371B8EE" w14:textId="77777777" w:rsidR="00161C10" w:rsidRDefault="00CE2C8C">
      <w:pPr>
        <w:spacing w:before="121" w:line="276" w:lineRule="auto"/>
        <w:ind w:left="360" w:right="353"/>
        <w:jc w:val="both"/>
        <w:rPr>
          <w:sz w:val="24"/>
        </w:rPr>
      </w:pPr>
      <w:r>
        <w:rPr>
          <w:sz w:val="24"/>
        </w:rPr>
        <w:t xml:space="preserve">Further to these findings, the European Court of Auditors published a </w:t>
      </w:r>
      <w:hyperlink r:id="rId18">
        <w:r>
          <w:rPr>
            <w:color w:val="1154CC"/>
            <w:sz w:val="24"/>
            <w:u w:val="single" w:color="1154CC"/>
          </w:rPr>
          <w:t>special report</w:t>
        </w:r>
      </w:hyperlink>
      <w:r>
        <w:rPr>
          <w:color w:val="1154CC"/>
          <w:sz w:val="24"/>
        </w:rPr>
        <w:t xml:space="preserve"> </w:t>
      </w:r>
      <w:r>
        <w:rPr>
          <w:sz w:val="24"/>
        </w:rPr>
        <w:t>in 2023, in order to assess whether the “</w:t>
      </w:r>
      <w:r>
        <w:rPr>
          <w:rFonts w:ascii="Arial" w:hAnsi="Arial"/>
          <w:i/>
          <w:sz w:val="24"/>
        </w:rPr>
        <w:t>Commission had taken effective action to support persons with disabilities</w:t>
      </w:r>
      <w:r>
        <w:rPr>
          <w:sz w:val="24"/>
        </w:rPr>
        <w:t>”. Some of the key problems it found, and which are highlighted in this shadow report, include: “</w:t>
      </w:r>
      <w:r>
        <w:rPr>
          <w:rFonts w:ascii="Arial" w:hAnsi="Arial"/>
          <w:i/>
          <w:sz w:val="24"/>
        </w:rPr>
        <w:t>The criteria for disability status differ across the member states and the statistical data are not comparable, which may undermine mutual recognition.</w:t>
      </w:r>
      <w:r>
        <w:rPr>
          <w:rFonts w:ascii="Arial" w:hAnsi="Arial"/>
          <w:i/>
          <w:spacing w:val="-12"/>
          <w:sz w:val="24"/>
        </w:rPr>
        <w:t xml:space="preserve"> </w:t>
      </w:r>
      <w:r>
        <w:rPr>
          <w:rFonts w:ascii="Arial" w:hAnsi="Arial"/>
          <w:i/>
          <w:sz w:val="24"/>
        </w:rPr>
        <w:t>The</w:t>
      </w:r>
      <w:r>
        <w:rPr>
          <w:rFonts w:ascii="Arial" w:hAnsi="Arial"/>
          <w:i/>
          <w:spacing w:val="-14"/>
          <w:sz w:val="24"/>
        </w:rPr>
        <w:t xml:space="preserve"> </w:t>
      </w:r>
      <w:r>
        <w:rPr>
          <w:rFonts w:ascii="Arial" w:hAnsi="Arial"/>
          <w:i/>
          <w:sz w:val="24"/>
        </w:rPr>
        <w:t>2021-2030</w:t>
      </w:r>
      <w:r>
        <w:rPr>
          <w:rFonts w:ascii="Arial" w:hAnsi="Arial"/>
          <w:i/>
          <w:spacing w:val="-12"/>
          <w:sz w:val="24"/>
        </w:rPr>
        <w:t xml:space="preserve"> </w:t>
      </w:r>
      <w:r>
        <w:rPr>
          <w:rFonts w:ascii="Arial" w:hAnsi="Arial"/>
          <w:i/>
          <w:sz w:val="24"/>
        </w:rPr>
        <w:t>Strategy</w:t>
      </w:r>
      <w:r>
        <w:rPr>
          <w:rFonts w:ascii="Arial" w:hAnsi="Arial"/>
          <w:i/>
          <w:spacing w:val="-13"/>
          <w:sz w:val="24"/>
        </w:rPr>
        <w:t xml:space="preserve"> </w:t>
      </w:r>
      <w:r>
        <w:rPr>
          <w:rFonts w:ascii="Arial" w:hAnsi="Arial"/>
          <w:i/>
          <w:sz w:val="24"/>
        </w:rPr>
        <w:t>sets</w:t>
      </w:r>
      <w:r>
        <w:rPr>
          <w:rFonts w:ascii="Arial" w:hAnsi="Arial"/>
          <w:i/>
          <w:spacing w:val="-12"/>
          <w:sz w:val="24"/>
        </w:rPr>
        <w:t xml:space="preserve"> </w:t>
      </w:r>
      <w:r>
        <w:rPr>
          <w:rFonts w:ascii="Arial" w:hAnsi="Arial"/>
          <w:i/>
          <w:sz w:val="24"/>
        </w:rPr>
        <w:t>objectives,</w:t>
      </w:r>
      <w:r>
        <w:rPr>
          <w:rFonts w:ascii="Arial" w:hAnsi="Arial"/>
          <w:i/>
          <w:spacing w:val="-12"/>
          <w:sz w:val="24"/>
        </w:rPr>
        <w:t xml:space="preserve"> </w:t>
      </w:r>
      <w:r>
        <w:rPr>
          <w:rFonts w:ascii="Arial" w:hAnsi="Arial"/>
          <w:i/>
          <w:sz w:val="24"/>
        </w:rPr>
        <w:t>but</w:t>
      </w:r>
      <w:r>
        <w:rPr>
          <w:rFonts w:ascii="Arial" w:hAnsi="Arial"/>
          <w:i/>
          <w:spacing w:val="-12"/>
          <w:sz w:val="24"/>
        </w:rPr>
        <w:t xml:space="preserve"> </w:t>
      </w:r>
      <w:r>
        <w:rPr>
          <w:rFonts w:ascii="Arial" w:hAnsi="Arial"/>
          <w:i/>
          <w:sz w:val="24"/>
        </w:rPr>
        <w:t>some</w:t>
      </w:r>
      <w:r>
        <w:rPr>
          <w:rFonts w:ascii="Arial" w:hAnsi="Arial"/>
          <w:i/>
          <w:spacing w:val="-12"/>
          <w:sz w:val="24"/>
        </w:rPr>
        <w:t xml:space="preserve"> </w:t>
      </w:r>
      <w:r>
        <w:rPr>
          <w:rFonts w:ascii="Arial" w:hAnsi="Arial"/>
          <w:i/>
          <w:sz w:val="24"/>
        </w:rPr>
        <w:t>issues</w:t>
      </w:r>
      <w:r>
        <w:rPr>
          <w:rFonts w:ascii="Arial" w:hAnsi="Arial"/>
          <w:i/>
          <w:spacing w:val="-13"/>
          <w:sz w:val="24"/>
        </w:rPr>
        <w:t xml:space="preserve"> </w:t>
      </w:r>
      <w:r>
        <w:rPr>
          <w:rFonts w:ascii="Arial" w:hAnsi="Arial"/>
          <w:i/>
          <w:sz w:val="24"/>
        </w:rPr>
        <w:t>remain</w:t>
      </w:r>
      <w:r>
        <w:rPr>
          <w:rFonts w:ascii="Arial" w:hAnsi="Arial"/>
          <w:i/>
          <w:spacing w:val="-12"/>
          <w:sz w:val="24"/>
        </w:rPr>
        <w:t xml:space="preserve"> </w:t>
      </w:r>
      <w:r>
        <w:rPr>
          <w:rFonts w:ascii="Arial" w:hAnsi="Arial"/>
          <w:i/>
          <w:sz w:val="24"/>
        </w:rPr>
        <w:t>unresolved and the monitoring system in place does not show how EU funding helps improving the lives of persons with disabilities.</w:t>
      </w:r>
      <w:r>
        <w:rPr>
          <w:sz w:val="24"/>
        </w:rPr>
        <w:t>”</w:t>
      </w:r>
    </w:p>
    <w:p w14:paraId="3CD04440" w14:textId="77777777" w:rsidR="00161C10" w:rsidRDefault="00161C10">
      <w:pPr>
        <w:pStyle w:val="BodyText"/>
      </w:pPr>
    </w:p>
    <w:p w14:paraId="1CD71129" w14:textId="77777777" w:rsidR="00161C10" w:rsidRDefault="00161C10">
      <w:pPr>
        <w:pStyle w:val="BodyText"/>
        <w:spacing w:before="4"/>
      </w:pPr>
    </w:p>
    <w:p w14:paraId="01BA176F" w14:textId="77777777" w:rsidR="00161C10" w:rsidRDefault="00CE2C8C" w:rsidP="005B2E9B">
      <w:pPr>
        <w:pStyle w:val="Heading1"/>
      </w:pPr>
      <w:r>
        <w:t>ENIL’s</w:t>
      </w:r>
      <w:r>
        <w:rPr>
          <w:spacing w:val="-7"/>
        </w:rPr>
        <w:t xml:space="preserve"> </w:t>
      </w:r>
      <w:r>
        <w:t>response</w:t>
      </w:r>
      <w:r>
        <w:rPr>
          <w:spacing w:val="-7"/>
        </w:rPr>
        <w:t xml:space="preserve"> </w:t>
      </w:r>
      <w:r>
        <w:t>to</w:t>
      </w:r>
      <w:r>
        <w:rPr>
          <w:spacing w:val="-7"/>
        </w:rPr>
        <w:t xml:space="preserve"> </w:t>
      </w:r>
      <w:r>
        <w:t>the</w:t>
      </w:r>
      <w:r>
        <w:rPr>
          <w:spacing w:val="-7"/>
        </w:rPr>
        <w:t xml:space="preserve"> </w:t>
      </w:r>
      <w:r>
        <w:t>information</w:t>
      </w:r>
      <w:r>
        <w:rPr>
          <w:spacing w:val="-7"/>
        </w:rPr>
        <w:t xml:space="preserve"> </w:t>
      </w:r>
      <w:r>
        <w:t>provided</w:t>
      </w:r>
      <w:r>
        <w:rPr>
          <w:spacing w:val="-7"/>
        </w:rPr>
        <w:t xml:space="preserve"> </w:t>
      </w:r>
      <w:r>
        <w:t>by the European Union</w:t>
      </w:r>
    </w:p>
    <w:p w14:paraId="5B21A004" w14:textId="2985C09A" w:rsidR="00161C10" w:rsidRDefault="00CE2C8C" w:rsidP="005B2E9B">
      <w:pPr>
        <w:pStyle w:val="Heading2"/>
        <w:numPr>
          <w:ilvl w:val="1"/>
          <w:numId w:val="14"/>
        </w:numPr>
      </w:pPr>
      <w:r>
        <w:t>Purpose</w:t>
      </w:r>
      <w:r>
        <w:rPr>
          <w:spacing w:val="-13"/>
        </w:rPr>
        <w:t xml:space="preserve"> </w:t>
      </w:r>
      <w:r>
        <w:t>and</w:t>
      </w:r>
      <w:r>
        <w:rPr>
          <w:spacing w:val="-11"/>
        </w:rPr>
        <w:t xml:space="preserve"> </w:t>
      </w:r>
      <w:r>
        <w:t>general</w:t>
      </w:r>
      <w:r>
        <w:rPr>
          <w:spacing w:val="-13"/>
        </w:rPr>
        <w:t xml:space="preserve"> </w:t>
      </w:r>
      <w:r>
        <w:t>obligations</w:t>
      </w:r>
      <w:r>
        <w:rPr>
          <w:spacing w:val="-12"/>
        </w:rPr>
        <w:t xml:space="preserve"> </w:t>
      </w:r>
      <w:r>
        <w:t>(arts.</w:t>
      </w:r>
      <w:r>
        <w:rPr>
          <w:spacing w:val="-14"/>
        </w:rPr>
        <w:t xml:space="preserve"> </w:t>
      </w:r>
      <w:r>
        <w:rPr>
          <w:spacing w:val="-4"/>
        </w:rPr>
        <w:t>1–4)</w:t>
      </w:r>
    </w:p>
    <w:p w14:paraId="3404971E" w14:textId="77777777" w:rsidR="00161C10" w:rsidRDefault="00CE2C8C">
      <w:pPr>
        <w:pStyle w:val="Heading4"/>
        <w:numPr>
          <w:ilvl w:val="0"/>
          <w:numId w:val="10"/>
        </w:numPr>
        <w:tabs>
          <w:tab w:val="left" w:pos="1073"/>
        </w:tabs>
        <w:spacing w:before="295"/>
        <w:ind w:hanging="355"/>
        <w:jc w:val="left"/>
      </w:pPr>
      <w:r>
        <w:t>Reply</w:t>
      </w:r>
      <w:r>
        <w:rPr>
          <w:spacing w:val="-2"/>
        </w:rPr>
        <w:t xml:space="preserve"> </w:t>
      </w:r>
      <w:r>
        <w:t>to</w:t>
      </w:r>
      <w:r>
        <w:rPr>
          <w:spacing w:val="-2"/>
        </w:rPr>
        <w:t xml:space="preserve"> </w:t>
      </w:r>
      <w:r>
        <w:t>issues</w:t>
      </w:r>
      <w:r>
        <w:rPr>
          <w:spacing w:val="-4"/>
        </w:rPr>
        <w:t xml:space="preserve"> </w:t>
      </w:r>
      <w:r>
        <w:t>raised</w:t>
      </w:r>
      <w:r>
        <w:rPr>
          <w:spacing w:val="-2"/>
        </w:rPr>
        <w:t xml:space="preserve"> </w:t>
      </w:r>
      <w:r>
        <w:t>in</w:t>
      </w:r>
      <w:r>
        <w:rPr>
          <w:spacing w:val="-1"/>
        </w:rPr>
        <w:t xml:space="preserve"> </w:t>
      </w:r>
      <w:r>
        <w:t>paragraph</w:t>
      </w:r>
      <w:r>
        <w:rPr>
          <w:spacing w:val="-2"/>
        </w:rPr>
        <w:t xml:space="preserve"> </w:t>
      </w:r>
      <w:r>
        <w:t>1b</w:t>
      </w:r>
      <w:r>
        <w:rPr>
          <w:spacing w:val="-2"/>
        </w:rPr>
        <w:t xml:space="preserve"> </w:t>
      </w:r>
      <w:r>
        <w:t>of</w:t>
      </w:r>
      <w:r>
        <w:rPr>
          <w:spacing w:val="-2"/>
        </w:rPr>
        <w:t xml:space="preserve"> </w:t>
      </w:r>
      <w:r>
        <w:t>the</w:t>
      </w:r>
      <w:r>
        <w:rPr>
          <w:spacing w:val="-1"/>
        </w:rPr>
        <w:t xml:space="preserve"> </w:t>
      </w:r>
      <w:r>
        <w:t>list</w:t>
      </w:r>
      <w:r>
        <w:rPr>
          <w:spacing w:val="-2"/>
        </w:rPr>
        <w:t xml:space="preserve"> </w:t>
      </w:r>
      <w:r>
        <w:t>of</w:t>
      </w:r>
      <w:r>
        <w:rPr>
          <w:spacing w:val="-4"/>
        </w:rPr>
        <w:t xml:space="preserve"> </w:t>
      </w:r>
      <w:r>
        <w:rPr>
          <w:spacing w:val="-2"/>
        </w:rPr>
        <w:t>issues</w:t>
      </w:r>
    </w:p>
    <w:p w14:paraId="2F262654" w14:textId="77777777" w:rsidR="00161C10" w:rsidRDefault="00CE2C8C">
      <w:pPr>
        <w:spacing w:before="159" w:line="276" w:lineRule="auto"/>
        <w:ind w:left="360" w:right="365"/>
        <w:jc w:val="both"/>
        <w:rPr>
          <w:rFonts w:ascii="Arial" w:hAnsi="Arial"/>
          <w:i/>
          <w:sz w:val="24"/>
        </w:rPr>
      </w:pPr>
      <w:r>
        <w:rPr>
          <w:rFonts w:ascii="Arial" w:hAnsi="Arial"/>
          <w:i/>
          <w:sz w:val="24"/>
        </w:rPr>
        <w:t>The European Union states that “disability mainstreaming takes place during legislative revisions and when preparing new legislative proposals”.</w:t>
      </w:r>
    </w:p>
    <w:p w14:paraId="6599227B" w14:textId="77777777" w:rsidR="00161C10" w:rsidRDefault="00CE2C8C">
      <w:pPr>
        <w:pStyle w:val="BodyText"/>
        <w:spacing w:before="121" w:line="276" w:lineRule="auto"/>
        <w:ind w:left="360" w:right="354"/>
        <w:jc w:val="both"/>
      </w:pPr>
      <w:r>
        <w:t>While ENIL welcomes any efforts to mainstream disability within the EU, we are concerned</w:t>
      </w:r>
      <w:r>
        <w:rPr>
          <w:spacing w:val="-17"/>
        </w:rPr>
        <w:t xml:space="preserve"> </w:t>
      </w:r>
      <w:r>
        <w:t>that</w:t>
      </w:r>
      <w:r>
        <w:rPr>
          <w:spacing w:val="-17"/>
        </w:rPr>
        <w:t xml:space="preserve"> </w:t>
      </w:r>
      <w:r>
        <w:t>the</w:t>
      </w:r>
      <w:r>
        <w:rPr>
          <w:spacing w:val="-15"/>
        </w:rPr>
        <w:t xml:space="preserve"> </w:t>
      </w:r>
      <w:r>
        <w:t>silo</w:t>
      </w:r>
      <w:r>
        <w:rPr>
          <w:spacing w:val="-17"/>
        </w:rPr>
        <w:t xml:space="preserve"> </w:t>
      </w:r>
      <w:r>
        <w:t>approach</w:t>
      </w:r>
      <w:r>
        <w:rPr>
          <w:spacing w:val="-14"/>
        </w:rPr>
        <w:t xml:space="preserve"> </w:t>
      </w:r>
      <w:r>
        <w:t>remains.</w:t>
      </w:r>
      <w:r>
        <w:rPr>
          <w:spacing w:val="-17"/>
        </w:rPr>
        <w:t xml:space="preserve"> </w:t>
      </w:r>
      <w:r>
        <w:t>Within</w:t>
      </w:r>
      <w:r>
        <w:rPr>
          <w:spacing w:val="-15"/>
        </w:rPr>
        <w:t xml:space="preserve"> </w:t>
      </w:r>
      <w:r>
        <w:t>the</w:t>
      </w:r>
      <w:r>
        <w:rPr>
          <w:spacing w:val="-17"/>
        </w:rPr>
        <w:t xml:space="preserve"> </w:t>
      </w:r>
      <w:r>
        <w:t>European</w:t>
      </w:r>
      <w:r>
        <w:rPr>
          <w:spacing w:val="-14"/>
        </w:rPr>
        <w:t xml:space="preserve"> </w:t>
      </w:r>
      <w:r>
        <w:t>Commission,</w:t>
      </w:r>
      <w:r>
        <w:rPr>
          <w:spacing w:val="-17"/>
        </w:rPr>
        <w:t xml:space="preserve"> </w:t>
      </w:r>
      <w:r>
        <w:t>Directorate- General for Employment, Social Affairs and Inclusion (DG EMPL) is mainly responsible for</w:t>
      </w:r>
      <w:r>
        <w:rPr>
          <w:spacing w:val="25"/>
        </w:rPr>
        <w:t xml:space="preserve"> </w:t>
      </w:r>
      <w:r>
        <w:t>the</w:t>
      </w:r>
      <w:r>
        <w:rPr>
          <w:spacing w:val="27"/>
        </w:rPr>
        <w:t xml:space="preserve"> </w:t>
      </w:r>
      <w:hyperlink r:id="rId19">
        <w:r>
          <w:rPr>
            <w:color w:val="1154CC"/>
            <w:u w:val="single" w:color="1154CC"/>
          </w:rPr>
          <w:t>rights</w:t>
        </w:r>
        <w:r>
          <w:rPr>
            <w:color w:val="1154CC"/>
            <w:spacing w:val="26"/>
            <w:u w:val="single" w:color="1154CC"/>
          </w:rPr>
          <w:t xml:space="preserve"> </w:t>
        </w:r>
        <w:r>
          <w:rPr>
            <w:color w:val="1154CC"/>
            <w:u w:val="single" w:color="1154CC"/>
          </w:rPr>
          <w:t>of</w:t>
        </w:r>
        <w:r>
          <w:rPr>
            <w:color w:val="1154CC"/>
            <w:spacing w:val="24"/>
            <w:u w:val="single" w:color="1154CC"/>
          </w:rPr>
          <w:t xml:space="preserve"> </w:t>
        </w:r>
        <w:r>
          <w:rPr>
            <w:color w:val="1154CC"/>
            <w:u w:val="single" w:color="1154CC"/>
          </w:rPr>
          <w:t>persons</w:t>
        </w:r>
        <w:r>
          <w:rPr>
            <w:color w:val="1154CC"/>
            <w:spacing w:val="26"/>
            <w:u w:val="single" w:color="1154CC"/>
          </w:rPr>
          <w:t xml:space="preserve"> </w:t>
        </w:r>
        <w:r>
          <w:rPr>
            <w:color w:val="1154CC"/>
            <w:u w:val="single" w:color="1154CC"/>
          </w:rPr>
          <w:t>with</w:t>
        </w:r>
        <w:r>
          <w:rPr>
            <w:color w:val="1154CC"/>
            <w:spacing w:val="27"/>
            <w:u w:val="single" w:color="1154CC"/>
          </w:rPr>
          <w:t xml:space="preserve"> </w:t>
        </w:r>
        <w:r>
          <w:rPr>
            <w:color w:val="1154CC"/>
            <w:u w:val="single" w:color="1154CC"/>
          </w:rPr>
          <w:t>disabilities</w:t>
        </w:r>
      </w:hyperlink>
      <w:r>
        <w:rPr>
          <w:color w:val="1154CC"/>
          <w:spacing w:val="30"/>
        </w:rPr>
        <w:t xml:space="preserve"> </w:t>
      </w:r>
      <w:r>
        <w:t>and</w:t>
      </w:r>
      <w:r>
        <w:rPr>
          <w:spacing w:val="26"/>
        </w:rPr>
        <w:t xml:space="preserve"> </w:t>
      </w:r>
      <w:r>
        <w:t>the</w:t>
      </w:r>
      <w:r>
        <w:rPr>
          <w:spacing w:val="26"/>
        </w:rPr>
        <w:t xml:space="preserve"> </w:t>
      </w:r>
      <w:r>
        <w:t>relevant</w:t>
      </w:r>
      <w:r>
        <w:rPr>
          <w:spacing w:val="28"/>
        </w:rPr>
        <w:t xml:space="preserve"> </w:t>
      </w:r>
      <w:r>
        <w:t>law</w:t>
      </w:r>
      <w:r>
        <w:rPr>
          <w:spacing w:val="26"/>
        </w:rPr>
        <w:t xml:space="preserve"> </w:t>
      </w:r>
      <w:r>
        <w:t>and</w:t>
      </w:r>
      <w:r>
        <w:rPr>
          <w:spacing w:val="26"/>
        </w:rPr>
        <w:t xml:space="preserve"> </w:t>
      </w:r>
      <w:r>
        <w:t>policy.</w:t>
      </w:r>
      <w:r>
        <w:rPr>
          <w:spacing w:val="27"/>
        </w:rPr>
        <w:t xml:space="preserve"> </w:t>
      </w:r>
      <w:r>
        <w:t>However,</w:t>
      </w:r>
      <w:r>
        <w:rPr>
          <w:spacing w:val="26"/>
        </w:rPr>
        <w:t xml:space="preserve"> </w:t>
      </w:r>
      <w:r>
        <w:t>in</w:t>
      </w:r>
    </w:p>
    <w:p w14:paraId="3ECCAAD7" w14:textId="77777777" w:rsidR="00161C10" w:rsidRDefault="00161C10">
      <w:pPr>
        <w:pStyle w:val="BodyText"/>
        <w:spacing w:line="276" w:lineRule="auto"/>
        <w:jc w:val="both"/>
        <w:sectPr w:rsidR="00161C10">
          <w:pgSz w:w="12240" w:h="15840"/>
          <w:pgMar w:top="1360" w:right="1080" w:bottom="1540" w:left="1080" w:header="0" w:footer="1274" w:gutter="0"/>
          <w:cols w:space="720"/>
        </w:sectPr>
      </w:pPr>
    </w:p>
    <w:p w14:paraId="4CC2D1FF" w14:textId="77777777" w:rsidR="00161C10" w:rsidRDefault="00CE2C8C">
      <w:pPr>
        <w:pStyle w:val="BodyText"/>
        <w:spacing w:before="81" w:line="276" w:lineRule="auto"/>
        <w:ind w:left="360" w:right="352"/>
        <w:jc w:val="both"/>
      </w:pPr>
      <w:r>
        <w:lastRenderedPageBreak/>
        <w:t xml:space="preserve">practice, other directorates-general (DGs) work on legislation affecting persons with disabilities too. The </w:t>
      </w:r>
      <w:hyperlink r:id="rId20">
        <w:r>
          <w:rPr>
            <w:color w:val="1154CC"/>
            <w:u w:val="single" w:color="1154CC"/>
          </w:rPr>
          <w:t>Proposal for a Regulation of the European Parliament and of the</w:t>
        </w:r>
      </w:hyperlink>
      <w:r>
        <w:rPr>
          <w:color w:val="1154CC"/>
        </w:rPr>
        <w:t xml:space="preserve"> </w:t>
      </w:r>
      <w:hyperlink r:id="rId21">
        <w:r>
          <w:rPr>
            <w:color w:val="1154CC"/>
            <w:u w:val="single" w:color="1154CC"/>
          </w:rPr>
          <w:t>Council on jurisdiction, applicable law, recognition and enforcement of measures and</w:t>
        </w:r>
      </w:hyperlink>
      <w:r>
        <w:rPr>
          <w:color w:val="1154CC"/>
        </w:rPr>
        <w:t xml:space="preserve"> </w:t>
      </w:r>
      <w:hyperlink r:id="rId22">
        <w:r>
          <w:rPr>
            <w:color w:val="1154CC"/>
            <w:u w:val="single" w:color="1154CC"/>
          </w:rPr>
          <w:t>cooperation in matters relating to the protection of adults</w:t>
        </w:r>
      </w:hyperlink>
      <w:r>
        <w:rPr>
          <w:color w:val="1154CC"/>
        </w:rPr>
        <w:t xml:space="preserve"> </w:t>
      </w:r>
      <w:r>
        <w:t xml:space="preserve">(COM/2023/280 final) and the so-called </w:t>
      </w:r>
      <w:hyperlink r:id="rId23">
        <w:r>
          <w:rPr>
            <w:color w:val="1154CC"/>
            <w:u w:val="single" w:color="1154CC"/>
          </w:rPr>
          <w:t>General Block Exemption Regulation (Regulation (EU) No 651/2014)</w:t>
        </w:r>
      </w:hyperlink>
      <w:r>
        <w:rPr>
          <w:color w:val="1154CC"/>
        </w:rPr>
        <w:t xml:space="preserve"> </w:t>
      </w:r>
      <w:r>
        <w:t>are two examples of insufficient coordination. Both regulations will be discussed later in this document (</w:t>
      </w:r>
      <w:r>
        <w:rPr>
          <w:rFonts w:ascii="Arial"/>
          <w:i/>
        </w:rPr>
        <w:t>see section 3.2.3</w:t>
      </w:r>
      <w:r>
        <w:t>). Even within DG EMPL, the work on long-term care does not</w:t>
      </w:r>
      <w:r>
        <w:rPr>
          <w:spacing w:val="-10"/>
        </w:rPr>
        <w:t xml:space="preserve"> </w:t>
      </w:r>
      <w:r>
        <w:t>take</w:t>
      </w:r>
      <w:r>
        <w:rPr>
          <w:spacing w:val="-9"/>
        </w:rPr>
        <w:t xml:space="preserve"> </w:t>
      </w:r>
      <w:r>
        <w:t>fully</w:t>
      </w:r>
      <w:r>
        <w:rPr>
          <w:spacing w:val="-10"/>
        </w:rPr>
        <w:t xml:space="preserve"> </w:t>
      </w:r>
      <w:r>
        <w:t>into</w:t>
      </w:r>
      <w:r>
        <w:rPr>
          <w:spacing w:val="-12"/>
        </w:rPr>
        <w:t xml:space="preserve"> </w:t>
      </w:r>
      <w:r>
        <w:t>account</w:t>
      </w:r>
      <w:r>
        <w:rPr>
          <w:spacing w:val="-10"/>
        </w:rPr>
        <w:t xml:space="preserve"> </w:t>
      </w:r>
      <w:r>
        <w:t>UNCRPD</w:t>
      </w:r>
      <w:r>
        <w:rPr>
          <w:spacing w:val="-11"/>
        </w:rPr>
        <w:t xml:space="preserve"> </w:t>
      </w:r>
      <w:r>
        <w:t>requirements</w:t>
      </w:r>
      <w:r>
        <w:rPr>
          <w:spacing w:val="-5"/>
        </w:rPr>
        <w:t xml:space="preserve"> </w:t>
      </w:r>
      <w:r>
        <w:t>-</w:t>
      </w:r>
      <w:r>
        <w:rPr>
          <w:spacing w:val="-11"/>
        </w:rPr>
        <w:t xml:space="preserve"> </w:t>
      </w:r>
      <w:r>
        <w:t>as</w:t>
      </w:r>
      <w:r>
        <w:rPr>
          <w:spacing w:val="-10"/>
        </w:rPr>
        <w:t xml:space="preserve"> </w:t>
      </w:r>
      <w:r>
        <w:t>is</w:t>
      </w:r>
      <w:r>
        <w:rPr>
          <w:spacing w:val="-13"/>
        </w:rPr>
        <w:t xml:space="preserve"> </w:t>
      </w:r>
      <w:r>
        <w:t>evident</w:t>
      </w:r>
      <w:r>
        <w:rPr>
          <w:spacing w:val="-10"/>
        </w:rPr>
        <w:t xml:space="preserve"> </w:t>
      </w:r>
      <w:r>
        <w:t>from</w:t>
      </w:r>
      <w:r>
        <w:rPr>
          <w:spacing w:val="-9"/>
        </w:rPr>
        <w:t xml:space="preserve"> </w:t>
      </w:r>
      <w:r>
        <w:t>the</w:t>
      </w:r>
      <w:r>
        <w:rPr>
          <w:spacing w:val="-8"/>
        </w:rPr>
        <w:t xml:space="preserve"> </w:t>
      </w:r>
      <w:hyperlink r:id="rId24">
        <w:r>
          <w:rPr>
            <w:color w:val="1154CC"/>
            <w:u w:val="single" w:color="1154CC"/>
          </w:rPr>
          <w:t>European</w:t>
        </w:r>
        <w:r>
          <w:rPr>
            <w:color w:val="1154CC"/>
            <w:spacing w:val="-9"/>
            <w:u w:val="single" w:color="1154CC"/>
          </w:rPr>
          <w:t xml:space="preserve"> </w:t>
        </w:r>
        <w:r>
          <w:rPr>
            <w:color w:val="1154CC"/>
            <w:u w:val="single" w:color="1154CC"/>
          </w:rPr>
          <w:t>Care</w:t>
        </w:r>
      </w:hyperlink>
      <w:r>
        <w:rPr>
          <w:color w:val="1154CC"/>
        </w:rPr>
        <w:t xml:space="preserve"> </w:t>
      </w:r>
      <w:hyperlink r:id="rId25">
        <w:r>
          <w:rPr>
            <w:color w:val="1154CC"/>
            <w:u w:val="single" w:color="1154CC"/>
          </w:rPr>
          <w:t>Strategy</w:t>
        </w:r>
      </w:hyperlink>
      <w:r>
        <w:t>. This lack of coordination results in serious misalignments with the CRPD.</w:t>
      </w:r>
    </w:p>
    <w:p w14:paraId="68FEFFF2" w14:textId="77777777" w:rsidR="00161C10" w:rsidRDefault="00CE2C8C">
      <w:pPr>
        <w:pStyle w:val="BodyText"/>
        <w:spacing w:before="120" w:line="276" w:lineRule="auto"/>
        <w:ind w:left="360" w:right="354"/>
        <w:jc w:val="both"/>
      </w:pPr>
      <w:r>
        <w:t>During his</w:t>
      </w:r>
      <w:hyperlink r:id="rId26">
        <w:r>
          <w:rPr>
            <w:color w:val="1154CC"/>
            <w:u w:val="single" w:color="1154CC"/>
          </w:rPr>
          <w:t xml:space="preserve"> visit to the European Union</w:t>
        </w:r>
      </w:hyperlink>
      <w:r>
        <w:rPr>
          <w:color w:val="1154CC"/>
        </w:rPr>
        <w:t xml:space="preserve"> </w:t>
      </w:r>
      <w:r>
        <w:t>(21 - 31 March 2022), the former Special Rapporteur</w:t>
      </w:r>
      <w:r>
        <w:rPr>
          <w:spacing w:val="-16"/>
        </w:rPr>
        <w:t xml:space="preserve"> </w:t>
      </w:r>
      <w:r>
        <w:t>on</w:t>
      </w:r>
      <w:r>
        <w:rPr>
          <w:spacing w:val="-14"/>
        </w:rPr>
        <w:t xml:space="preserve"> </w:t>
      </w:r>
      <w:r>
        <w:t>the</w:t>
      </w:r>
      <w:r>
        <w:rPr>
          <w:spacing w:val="-12"/>
        </w:rPr>
        <w:t xml:space="preserve"> </w:t>
      </w:r>
      <w:r>
        <w:t>Rights</w:t>
      </w:r>
      <w:r>
        <w:rPr>
          <w:spacing w:val="-14"/>
        </w:rPr>
        <w:t xml:space="preserve"> </w:t>
      </w:r>
      <w:r>
        <w:t>of</w:t>
      </w:r>
      <w:r>
        <w:rPr>
          <w:spacing w:val="-14"/>
        </w:rPr>
        <w:t xml:space="preserve"> </w:t>
      </w:r>
      <w:r>
        <w:t>Persons</w:t>
      </w:r>
      <w:r>
        <w:rPr>
          <w:spacing w:val="-13"/>
        </w:rPr>
        <w:t xml:space="preserve"> </w:t>
      </w:r>
      <w:r>
        <w:t>with</w:t>
      </w:r>
      <w:r>
        <w:rPr>
          <w:spacing w:val="-14"/>
        </w:rPr>
        <w:t xml:space="preserve"> </w:t>
      </w:r>
      <w:r>
        <w:t>Disabilities</w:t>
      </w:r>
      <w:r>
        <w:rPr>
          <w:spacing w:val="-12"/>
        </w:rPr>
        <w:t xml:space="preserve"> </w:t>
      </w:r>
      <w:r>
        <w:t>Gerard</w:t>
      </w:r>
      <w:r>
        <w:rPr>
          <w:spacing w:val="-15"/>
        </w:rPr>
        <w:t xml:space="preserve"> </w:t>
      </w:r>
      <w:r>
        <w:t>Quinn</w:t>
      </w:r>
      <w:r>
        <w:rPr>
          <w:spacing w:val="-14"/>
        </w:rPr>
        <w:t xml:space="preserve"> </w:t>
      </w:r>
      <w:r>
        <w:t>noted</w:t>
      </w:r>
      <w:r>
        <w:rPr>
          <w:spacing w:val="-14"/>
        </w:rPr>
        <w:t xml:space="preserve"> </w:t>
      </w:r>
      <w:r>
        <w:t>that</w:t>
      </w:r>
      <w:r>
        <w:rPr>
          <w:spacing w:val="-14"/>
        </w:rPr>
        <w:t xml:space="preserve"> </w:t>
      </w:r>
      <w:r>
        <w:t>despite</w:t>
      </w:r>
      <w:r>
        <w:rPr>
          <w:spacing w:val="-14"/>
        </w:rPr>
        <w:t xml:space="preserve"> </w:t>
      </w:r>
      <w:r>
        <w:t>the existence of coordination mechanisms, these do not translate into disability mainstreaming across departments. Therefore, there needs to be strengthened coordination among relevant DGs in the European Commission on disability, including DG EMPL, DG</w:t>
      </w:r>
      <w:r>
        <w:rPr>
          <w:spacing w:val="-1"/>
        </w:rPr>
        <w:t xml:space="preserve"> </w:t>
      </w:r>
      <w:r>
        <w:t>Regional and Urban Policy</w:t>
      </w:r>
      <w:r>
        <w:rPr>
          <w:spacing w:val="-1"/>
        </w:rPr>
        <w:t xml:space="preserve"> </w:t>
      </w:r>
      <w:r>
        <w:t>(DG REGIO) on Cohesion policy, DG</w:t>
      </w:r>
      <w:r>
        <w:rPr>
          <w:spacing w:val="-1"/>
        </w:rPr>
        <w:t xml:space="preserve"> </w:t>
      </w:r>
      <w:r>
        <w:t xml:space="preserve">Justice and Consumers (DG JUST) on fundamental rights, DG Agriculture and Rural Development (DG AGRI) on the European Agricultural Fund for Rural Development (EAFRD) - which has been the subject of ENIL’s </w:t>
      </w:r>
      <w:hyperlink r:id="rId27">
        <w:r>
          <w:rPr>
            <w:color w:val="1154CC"/>
            <w:u w:val="single" w:color="1154CC"/>
          </w:rPr>
          <w:t>complaints</w:t>
        </w:r>
      </w:hyperlink>
      <w:r>
        <w:rPr>
          <w:color w:val="1154CC"/>
        </w:rPr>
        <w:t xml:space="preserve"> </w:t>
      </w:r>
      <w:r>
        <w:t xml:space="preserve">for being used to fund institutions for persons with disabilities in Austria - DG European </w:t>
      </w:r>
      <w:proofErr w:type="spellStart"/>
      <w:r>
        <w:t>Neighbourhood</w:t>
      </w:r>
      <w:proofErr w:type="spellEnd"/>
      <w:r>
        <w:t xml:space="preserve"> and Enlargement Negotiations (DG NEAR), DG International Partnerships (DG INTPA), and DG European Civil Protection and Humanitarian Aid Operations (DG ECHO) regarding neighborhood and external action. Coordination must also be reinforced between the Commission</w:t>
      </w:r>
      <w:r>
        <w:rPr>
          <w:spacing w:val="-9"/>
        </w:rPr>
        <w:t xml:space="preserve"> </w:t>
      </w:r>
      <w:r>
        <w:t>and</w:t>
      </w:r>
      <w:r>
        <w:rPr>
          <w:spacing w:val="-9"/>
        </w:rPr>
        <w:t xml:space="preserve"> </w:t>
      </w:r>
      <w:r>
        <w:t>the</w:t>
      </w:r>
      <w:r>
        <w:rPr>
          <w:spacing w:val="-9"/>
        </w:rPr>
        <w:t xml:space="preserve"> </w:t>
      </w:r>
      <w:r>
        <w:t>other</w:t>
      </w:r>
      <w:r>
        <w:rPr>
          <w:spacing w:val="-11"/>
        </w:rPr>
        <w:t xml:space="preserve"> </w:t>
      </w:r>
      <w:r>
        <w:t>institutions,</w:t>
      </w:r>
      <w:r>
        <w:rPr>
          <w:spacing w:val="-10"/>
        </w:rPr>
        <w:t xml:space="preserve"> </w:t>
      </w:r>
      <w:r>
        <w:t>namely</w:t>
      </w:r>
      <w:r>
        <w:rPr>
          <w:spacing w:val="-13"/>
        </w:rPr>
        <w:t xml:space="preserve"> </w:t>
      </w:r>
      <w:r>
        <w:t>the</w:t>
      </w:r>
      <w:r>
        <w:rPr>
          <w:spacing w:val="-9"/>
        </w:rPr>
        <w:t xml:space="preserve"> </w:t>
      </w:r>
      <w:r>
        <w:t>European</w:t>
      </w:r>
      <w:r>
        <w:rPr>
          <w:spacing w:val="-9"/>
        </w:rPr>
        <w:t xml:space="preserve"> </w:t>
      </w:r>
      <w:r>
        <w:t>Parliament</w:t>
      </w:r>
      <w:r>
        <w:rPr>
          <w:spacing w:val="-10"/>
        </w:rPr>
        <w:t xml:space="preserve"> </w:t>
      </w:r>
      <w:r>
        <w:t>and</w:t>
      </w:r>
      <w:r>
        <w:rPr>
          <w:spacing w:val="-9"/>
        </w:rPr>
        <w:t xml:space="preserve"> </w:t>
      </w:r>
      <w:r>
        <w:t>the</w:t>
      </w:r>
      <w:r>
        <w:rPr>
          <w:spacing w:val="-9"/>
        </w:rPr>
        <w:t xml:space="preserve"> </w:t>
      </w:r>
      <w:r>
        <w:t>Council.</w:t>
      </w:r>
    </w:p>
    <w:p w14:paraId="19ADDEBA" w14:textId="76A0922C" w:rsidR="00161C10" w:rsidRDefault="003D0DBD">
      <w:pPr>
        <w:pStyle w:val="BodyText"/>
        <w:spacing w:before="119" w:line="276" w:lineRule="auto"/>
        <w:ind w:left="360" w:right="355"/>
        <w:jc w:val="both"/>
      </w:pPr>
      <w:r>
        <w:t xml:space="preserve">The importance of disability mainstreaming is highlighted by ENIL’s experience whilst working on EU funds. For years, </w:t>
      </w:r>
      <w:r w:rsidR="00CE2C8C">
        <w:t>ENIL</w:t>
      </w:r>
      <w:r w:rsidR="00CE2C8C">
        <w:rPr>
          <w:spacing w:val="-17"/>
        </w:rPr>
        <w:t xml:space="preserve"> </w:t>
      </w:r>
      <w:r w:rsidR="00CE2C8C">
        <w:t>has</w:t>
      </w:r>
      <w:r w:rsidR="00CE2C8C">
        <w:rPr>
          <w:spacing w:val="-16"/>
        </w:rPr>
        <w:t xml:space="preserve"> </w:t>
      </w:r>
      <w:r w:rsidR="00CE2C8C">
        <w:t>experienced</w:t>
      </w:r>
      <w:r w:rsidR="00CE2C8C">
        <w:rPr>
          <w:spacing w:val="-17"/>
        </w:rPr>
        <w:t xml:space="preserve"> </w:t>
      </w:r>
      <w:r w:rsidR="00CE2C8C">
        <w:t xml:space="preserve">hostile attitudes when asking questions about the misuse of EU funds, especially from DG REGIO. </w:t>
      </w:r>
      <w:r>
        <w:t>Most recently, i</w:t>
      </w:r>
      <w:r w:rsidR="00CE2C8C">
        <w:t xml:space="preserve">n a meeting of the </w:t>
      </w:r>
      <w:hyperlink r:id="rId28">
        <w:r w:rsidR="00CE2C8C">
          <w:rPr>
            <w:color w:val="1154CC"/>
            <w:u w:val="single" w:color="1154CC"/>
          </w:rPr>
          <w:t>Group of experts on the</w:t>
        </w:r>
      </w:hyperlink>
      <w:r w:rsidR="00CE2C8C">
        <w:rPr>
          <w:color w:val="1154CC"/>
        </w:rPr>
        <w:t xml:space="preserve"> </w:t>
      </w:r>
      <w:hyperlink r:id="rId29">
        <w:r w:rsidR="00CE2C8C">
          <w:rPr>
            <w:color w:val="1154CC"/>
            <w:u w:val="single" w:color="1154CC"/>
          </w:rPr>
          <w:t>funds established by Regulation (EU) No 2021/1060</w:t>
        </w:r>
      </w:hyperlink>
      <w:r w:rsidR="00CE2C8C">
        <w:t>, of which we are members, ENIL was told that we were not “in touch with reality” of disabled people in the EU by one of the DG</w:t>
      </w:r>
      <w:r w:rsidR="00CE2C8C">
        <w:rPr>
          <w:spacing w:val="-3"/>
        </w:rPr>
        <w:t xml:space="preserve"> </w:t>
      </w:r>
      <w:r w:rsidR="00CE2C8C">
        <w:t>REGIO</w:t>
      </w:r>
      <w:r w:rsidR="00CE2C8C">
        <w:rPr>
          <w:spacing w:val="-2"/>
        </w:rPr>
        <w:t xml:space="preserve"> </w:t>
      </w:r>
      <w:r w:rsidR="00CE2C8C">
        <w:t>Directors</w:t>
      </w:r>
      <w:r w:rsidR="00CE2C8C">
        <w:rPr>
          <w:spacing w:val="-2"/>
        </w:rPr>
        <w:t xml:space="preserve"> </w:t>
      </w:r>
      <w:r w:rsidR="00CE2C8C">
        <w:t>(currently</w:t>
      </w:r>
      <w:r w:rsidR="00CE2C8C">
        <w:rPr>
          <w:spacing w:val="-1"/>
        </w:rPr>
        <w:t xml:space="preserve"> </w:t>
      </w:r>
      <w:r w:rsidR="00CE2C8C">
        <w:t>the Director-General</w:t>
      </w:r>
      <w:r w:rsidR="00CE2C8C">
        <w:rPr>
          <w:spacing w:val="-3"/>
        </w:rPr>
        <w:t xml:space="preserve"> </w:t>
      </w:r>
      <w:r w:rsidR="00CE2C8C">
        <w:t>of</w:t>
      </w:r>
      <w:r w:rsidR="00CE2C8C">
        <w:rPr>
          <w:spacing w:val="-3"/>
        </w:rPr>
        <w:t xml:space="preserve"> </w:t>
      </w:r>
      <w:r w:rsidR="00CE2C8C">
        <w:t>another</w:t>
      </w:r>
      <w:r w:rsidR="00CE2C8C">
        <w:rPr>
          <w:spacing w:val="-3"/>
        </w:rPr>
        <w:t xml:space="preserve"> </w:t>
      </w:r>
      <w:r w:rsidR="00CE2C8C">
        <w:t>DG).</w:t>
      </w:r>
      <w:r w:rsidR="00CE2C8C">
        <w:rPr>
          <w:spacing w:val="-1"/>
        </w:rPr>
        <w:t xml:space="preserve"> </w:t>
      </w:r>
      <w:r w:rsidR="00CE2C8C">
        <w:t xml:space="preserve">The implication was that the Commission was better able to represent interests of disabled people, despite ENIL being a user-led </w:t>
      </w:r>
      <w:proofErr w:type="spellStart"/>
      <w:r w:rsidR="00CE2C8C">
        <w:t>organisation</w:t>
      </w:r>
      <w:proofErr w:type="spellEnd"/>
      <w:r w:rsidR="00CE2C8C">
        <w:t xml:space="preserve"> with members in most countries in Europe. This</w:t>
      </w:r>
      <w:r w:rsidR="00CE2C8C">
        <w:rPr>
          <w:spacing w:val="-7"/>
        </w:rPr>
        <w:t xml:space="preserve"> </w:t>
      </w:r>
      <w:r w:rsidR="00CE2C8C">
        <w:t>incident</w:t>
      </w:r>
      <w:r w:rsidR="00CE2C8C">
        <w:rPr>
          <w:spacing w:val="-9"/>
        </w:rPr>
        <w:t xml:space="preserve"> </w:t>
      </w:r>
      <w:r w:rsidR="00CE2C8C">
        <w:t>was</w:t>
      </w:r>
      <w:r w:rsidR="00CE2C8C">
        <w:rPr>
          <w:spacing w:val="-6"/>
        </w:rPr>
        <w:t xml:space="preserve"> </w:t>
      </w:r>
      <w:r w:rsidR="00CE2C8C">
        <w:t>reported</w:t>
      </w:r>
      <w:r w:rsidR="00CE2C8C">
        <w:rPr>
          <w:spacing w:val="-6"/>
        </w:rPr>
        <w:t xml:space="preserve"> </w:t>
      </w:r>
      <w:r w:rsidR="00CE2C8C">
        <w:t>to</w:t>
      </w:r>
      <w:r w:rsidR="00CE2C8C">
        <w:rPr>
          <w:spacing w:val="-6"/>
        </w:rPr>
        <w:t xml:space="preserve"> </w:t>
      </w:r>
      <w:r w:rsidR="00CE2C8C">
        <w:t>the</w:t>
      </w:r>
      <w:r w:rsidR="00CE2C8C">
        <w:rPr>
          <w:spacing w:val="-6"/>
        </w:rPr>
        <w:t xml:space="preserve"> </w:t>
      </w:r>
      <w:r w:rsidR="00CE2C8C">
        <w:t>Commission,</w:t>
      </w:r>
      <w:r w:rsidR="00CE2C8C">
        <w:rPr>
          <w:spacing w:val="-9"/>
        </w:rPr>
        <w:t xml:space="preserve"> </w:t>
      </w:r>
      <w:r w:rsidR="00CE2C8C">
        <w:t>but</w:t>
      </w:r>
      <w:r w:rsidR="00CE2C8C">
        <w:rPr>
          <w:spacing w:val="-6"/>
        </w:rPr>
        <w:t xml:space="preserve"> </w:t>
      </w:r>
      <w:r w:rsidR="00CE2C8C">
        <w:t>there</w:t>
      </w:r>
      <w:r w:rsidR="00CE2C8C">
        <w:rPr>
          <w:spacing w:val="-7"/>
        </w:rPr>
        <w:t xml:space="preserve"> </w:t>
      </w:r>
      <w:r w:rsidR="00CE2C8C">
        <w:t>was</w:t>
      </w:r>
      <w:r w:rsidR="00CE2C8C">
        <w:rPr>
          <w:spacing w:val="-9"/>
        </w:rPr>
        <w:t xml:space="preserve"> </w:t>
      </w:r>
      <w:r w:rsidR="00CE2C8C">
        <w:t>no</w:t>
      </w:r>
      <w:r w:rsidR="00CE2C8C">
        <w:rPr>
          <w:spacing w:val="-8"/>
        </w:rPr>
        <w:t xml:space="preserve"> </w:t>
      </w:r>
      <w:r w:rsidR="00CE2C8C">
        <w:t>follow</w:t>
      </w:r>
      <w:r w:rsidR="00CE2C8C">
        <w:rPr>
          <w:spacing w:val="-7"/>
        </w:rPr>
        <w:t xml:space="preserve"> </w:t>
      </w:r>
      <w:r w:rsidR="00CE2C8C">
        <w:t>up</w:t>
      </w:r>
      <w:r w:rsidR="00CE2C8C">
        <w:rPr>
          <w:spacing w:val="-6"/>
        </w:rPr>
        <w:t xml:space="preserve"> </w:t>
      </w:r>
      <w:r w:rsidR="00CE2C8C">
        <w:t>from</w:t>
      </w:r>
      <w:r w:rsidR="00CE2C8C">
        <w:rPr>
          <w:spacing w:val="-5"/>
        </w:rPr>
        <w:t xml:space="preserve"> </w:t>
      </w:r>
      <w:r w:rsidR="00CE2C8C">
        <w:t>the</w:t>
      </w:r>
      <w:r w:rsidR="00CE2C8C">
        <w:rPr>
          <w:spacing w:val="-6"/>
        </w:rPr>
        <w:t xml:space="preserve"> </w:t>
      </w:r>
      <w:r w:rsidR="00CE2C8C">
        <w:t>unit</w:t>
      </w:r>
      <w:r w:rsidR="00CE2C8C">
        <w:rPr>
          <w:spacing w:val="-7"/>
        </w:rPr>
        <w:t xml:space="preserve"> </w:t>
      </w:r>
      <w:r w:rsidR="00CE2C8C">
        <w:t xml:space="preserve">in </w:t>
      </w:r>
      <w:r w:rsidR="00CE2C8C">
        <w:rPr>
          <w:spacing w:val="-2"/>
        </w:rPr>
        <w:t>question.</w:t>
      </w:r>
    </w:p>
    <w:p w14:paraId="3E464A0E" w14:textId="77777777" w:rsidR="00161C10" w:rsidRDefault="00CE2C8C">
      <w:pPr>
        <w:spacing w:before="122"/>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2993D5AD" w14:textId="77777777" w:rsidR="00161C10" w:rsidRDefault="00CE2C8C">
      <w:pPr>
        <w:pStyle w:val="BodyText"/>
        <w:rPr>
          <w:rFonts w:ascii="Arial"/>
          <w:b/>
          <w:i/>
          <w:sz w:val="12"/>
        </w:rPr>
      </w:pPr>
      <w:r>
        <w:rPr>
          <w:rFonts w:ascii="Arial"/>
          <w:b/>
          <w:i/>
          <w:noProof/>
          <w:sz w:val="12"/>
        </w:rPr>
        <mc:AlternateContent>
          <mc:Choice Requires="wpg">
            <w:drawing>
              <wp:anchor distT="0" distB="0" distL="0" distR="0" simplePos="0" relativeHeight="487588864" behindDoc="1" locked="0" layoutInCell="1" allowOverlap="1" wp14:anchorId="3E33333D" wp14:editId="4D418A18">
                <wp:simplePos x="0" y="0"/>
                <wp:positionH relativeFrom="page">
                  <wp:posOffset>840028</wp:posOffset>
                </wp:positionH>
                <wp:positionV relativeFrom="paragraph">
                  <wp:posOffset>102862</wp:posOffset>
                </wp:positionV>
                <wp:extent cx="6094730" cy="62357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730" cy="623570"/>
                          <a:chOff x="0" y="0"/>
                          <a:chExt cx="6094730" cy="623570"/>
                        </a:xfrm>
                      </wpg:grpSpPr>
                      <wps:wsp>
                        <wps:cNvPr id="6" name="Graphic 6"/>
                        <wps:cNvSpPr/>
                        <wps:spPr>
                          <a:xfrm>
                            <a:off x="0" y="0"/>
                            <a:ext cx="6094730" cy="623570"/>
                          </a:xfrm>
                          <a:custGeom>
                            <a:avLst/>
                            <a:gdLst/>
                            <a:ahLst/>
                            <a:cxnLst/>
                            <a:rect l="l" t="t" r="r" b="b"/>
                            <a:pathLst>
                              <a:path w="6094730" h="623570">
                                <a:moveTo>
                                  <a:pt x="6094158" y="0"/>
                                </a:moveTo>
                                <a:lnTo>
                                  <a:pt x="6088126" y="0"/>
                                </a:lnTo>
                                <a:lnTo>
                                  <a:pt x="6096" y="0"/>
                                </a:lnTo>
                                <a:lnTo>
                                  <a:pt x="0" y="0"/>
                                </a:lnTo>
                                <a:lnTo>
                                  <a:pt x="0" y="6096"/>
                                </a:lnTo>
                                <a:lnTo>
                                  <a:pt x="0" y="219456"/>
                                </a:lnTo>
                                <a:lnTo>
                                  <a:pt x="0" y="420585"/>
                                </a:lnTo>
                                <a:lnTo>
                                  <a:pt x="0" y="623570"/>
                                </a:lnTo>
                                <a:lnTo>
                                  <a:pt x="6096" y="623570"/>
                                </a:lnTo>
                                <a:lnTo>
                                  <a:pt x="6096" y="420624"/>
                                </a:lnTo>
                                <a:lnTo>
                                  <a:pt x="6096" y="219456"/>
                                </a:lnTo>
                                <a:lnTo>
                                  <a:pt x="6096" y="6096"/>
                                </a:lnTo>
                                <a:lnTo>
                                  <a:pt x="6088075" y="6096"/>
                                </a:lnTo>
                                <a:lnTo>
                                  <a:pt x="6088075" y="219456"/>
                                </a:lnTo>
                                <a:lnTo>
                                  <a:pt x="6088075" y="420585"/>
                                </a:lnTo>
                                <a:lnTo>
                                  <a:pt x="6088075" y="623570"/>
                                </a:lnTo>
                                <a:lnTo>
                                  <a:pt x="6094158" y="623570"/>
                                </a:lnTo>
                                <a:lnTo>
                                  <a:pt x="6094158" y="420624"/>
                                </a:lnTo>
                                <a:lnTo>
                                  <a:pt x="6094158" y="219456"/>
                                </a:lnTo>
                                <a:lnTo>
                                  <a:pt x="6094158" y="6096"/>
                                </a:lnTo>
                                <a:lnTo>
                                  <a:pt x="6094158"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6095" y="6096"/>
                            <a:ext cx="6082030" cy="617855"/>
                          </a:xfrm>
                          <a:prstGeom prst="rect">
                            <a:avLst/>
                          </a:prstGeom>
                        </wps:spPr>
                        <wps:txbx>
                          <w:txbxContent>
                            <w:p w14:paraId="2B02D047" w14:textId="77777777" w:rsidR="00161C10" w:rsidRDefault="00CE2C8C">
                              <w:pPr>
                                <w:spacing w:before="19" w:line="276" w:lineRule="auto"/>
                                <w:ind w:left="107" w:right="113"/>
                                <w:jc w:val="both"/>
                                <w:rPr>
                                  <w:rFonts w:ascii="Arial"/>
                                  <w:b/>
                                  <w:sz w:val="24"/>
                                </w:rPr>
                              </w:pPr>
                              <w:r>
                                <w:rPr>
                                  <w:rFonts w:ascii="Arial"/>
                                  <w:b/>
                                  <w:sz w:val="24"/>
                                </w:rPr>
                                <w:t>The Committee urges the EU to move the coordination of the UNCRPD implementation from DG EMPL to DG JUST or the Secretariat General, to ensure that</w:t>
                              </w:r>
                              <w:r>
                                <w:rPr>
                                  <w:rFonts w:ascii="Arial"/>
                                  <w:b/>
                                  <w:spacing w:val="-6"/>
                                  <w:sz w:val="24"/>
                                </w:rPr>
                                <w:t xml:space="preserve"> </w:t>
                              </w:r>
                              <w:r>
                                <w:rPr>
                                  <w:rFonts w:ascii="Arial"/>
                                  <w:b/>
                                  <w:sz w:val="24"/>
                                </w:rPr>
                                <w:t>all</w:t>
                              </w:r>
                              <w:r>
                                <w:rPr>
                                  <w:rFonts w:ascii="Arial"/>
                                  <w:b/>
                                  <w:spacing w:val="-5"/>
                                  <w:sz w:val="24"/>
                                </w:rPr>
                                <w:t xml:space="preserve"> </w:t>
                              </w:r>
                              <w:r>
                                <w:rPr>
                                  <w:rFonts w:ascii="Arial"/>
                                  <w:b/>
                                  <w:sz w:val="24"/>
                                </w:rPr>
                                <w:t>new</w:t>
                              </w:r>
                              <w:r>
                                <w:rPr>
                                  <w:rFonts w:ascii="Arial"/>
                                  <w:b/>
                                  <w:spacing w:val="-5"/>
                                  <w:sz w:val="24"/>
                                </w:rPr>
                                <w:t xml:space="preserve"> </w:t>
                              </w:r>
                              <w:r>
                                <w:rPr>
                                  <w:rFonts w:ascii="Arial"/>
                                  <w:b/>
                                  <w:sz w:val="24"/>
                                </w:rPr>
                                <w:t>legislation</w:t>
                              </w:r>
                              <w:r>
                                <w:rPr>
                                  <w:rFonts w:ascii="Arial"/>
                                  <w:b/>
                                  <w:spacing w:val="-6"/>
                                  <w:sz w:val="24"/>
                                </w:rPr>
                                <w:t xml:space="preserve"> </w:t>
                              </w:r>
                              <w:r>
                                <w:rPr>
                                  <w:rFonts w:ascii="Arial"/>
                                  <w:b/>
                                  <w:sz w:val="24"/>
                                </w:rPr>
                                <w:t>is</w:t>
                              </w:r>
                              <w:r>
                                <w:rPr>
                                  <w:rFonts w:ascii="Arial"/>
                                  <w:b/>
                                  <w:spacing w:val="-4"/>
                                  <w:sz w:val="24"/>
                                </w:rPr>
                                <w:t xml:space="preserve"> </w:t>
                              </w:r>
                              <w:r>
                                <w:rPr>
                                  <w:rFonts w:ascii="Arial"/>
                                  <w:b/>
                                  <w:sz w:val="24"/>
                                </w:rPr>
                                <w:t>screened</w:t>
                              </w:r>
                              <w:r>
                                <w:rPr>
                                  <w:rFonts w:ascii="Arial"/>
                                  <w:b/>
                                  <w:spacing w:val="-6"/>
                                  <w:sz w:val="24"/>
                                </w:rPr>
                                <w:t xml:space="preserve"> </w:t>
                              </w:r>
                              <w:r>
                                <w:rPr>
                                  <w:rFonts w:ascii="Arial"/>
                                  <w:b/>
                                  <w:sz w:val="24"/>
                                </w:rPr>
                                <w:t>and</w:t>
                              </w:r>
                              <w:r>
                                <w:rPr>
                                  <w:rFonts w:ascii="Arial"/>
                                  <w:b/>
                                  <w:spacing w:val="-6"/>
                                  <w:sz w:val="24"/>
                                </w:rPr>
                                <w:t xml:space="preserve"> </w:t>
                              </w:r>
                              <w:r>
                                <w:rPr>
                                  <w:rFonts w:ascii="Arial"/>
                                  <w:b/>
                                  <w:sz w:val="24"/>
                                </w:rPr>
                                <w:t>follows</w:t>
                              </w:r>
                              <w:r>
                                <w:rPr>
                                  <w:rFonts w:ascii="Arial"/>
                                  <w:b/>
                                  <w:spacing w:val="-4"/>
                                  <w:sz w:val="24"/>
                                </w:rPr>
                                <w:t xml:space="preserve"> </w:t>
                              </w:r>
                              <w:r>
                                <w:rPr>
                                  <w:rFonts w:ascii="Arial"/>
                                  <w:b/>
                                  <w:sz w:val="24"/>
                                </w:rPr>
                                <w:t>disability</w:t>
                              </w:r>
                              <w:r>
                                <w:rPr>
                                  <w:rFonts w:ascii="Arial"/>
                                  <w:b/>
                                  <w:spacing w:val="-5"/>
                                  <w:sz w:val="24"/>
                                </w:rPr>
                                <w:t xml:space="preserve"> </w:t>
                              </w:r>
                              <w:r>
                                <w:rPr>
                                  <w:rFonts w:ascii="Arial"/>
                                  <w:b/>
                                  <w:sz w:val="24"/>
                                </w:rPr>
                                <w:t>inclusion</w:t>
                              </w:r>
                              <w:r>
                                <w:rPr>
                                  <w:rFonts w:ascii="Arial"/>
                                  <w:b/>
                                  <w:spacing w:val="-6"/>
                                  <w:sz w:val="24"/>
                                </w:rPr>
                                <w:t xml:space="preserve"> </w:t>
                              </w:r>
                              <w:r>
                                <w:rPr>
                                  <w:rFonts w:ascii="Arial"/>
                                  <w:b/>
                                  <w:sz w:val="24"/>
                                </w:rPr>
                                <w:t>guidelines.</w:t>
                              </w:r>
                              <w:r>
                                <w:rPr>
                                  <w:rFonts w:ascii="Arial"/>
                                  <w:b/>
                                  <w:spacing w:val="-7"/>
                                  <w:sz w:val="24"/>
                                </w:rPr>
                                <w:t xml:space="preserve"> </w:t>
                              </w:r>
                              <w:r>
                                <w:rPr>
                                  <w:rFonts w:ascii="Arial"/>
                                  <w:b/>
                                  <w:sz w:val="24"/>
                                </w:rPr>
                                <w:t>The</w:t>
                              </w:r>
                            </w:p>
                          </w:txbxContent>
                        </wps:txbx>
                        <wps:bodyPr wrap="square" lIns="0" tIns="0" rIns="0" bIns="0" rtlCol="0">
                          <a:noAutofit/>
                        </wps:bodyPr>
                      </wps:wsp>
                    </wpg:wgp>
                  </a:graphicData>
                </a:graphic>
              </wp:anchor>
            </w:drawing>
          </mc:Choice>
          <mc:Fallback>
            <w:pict>
              <v:group w14:anchorId="3E33333D" id="Group 5" o:spid="_x0000_s1026" style="position:absolute;margin-left:66.15pt;margin-top:8.1pt;width:479.9pt;height:49.1pt;z-index:-15727616;mso-wrap-distance-left:0;mso-wrap-distance-right:0;mso-position-horizontal-relative:page" coordsize="60947,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">
                <v:shape id="Graphic 6" o:spid="_x0000_s1027" style="position:absolute;width:60947;height:6235;visibility:visible;mso-wrap-style:square;v-text-anchor:top" coordsize="6094730,62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" path="m6094158,r-6032,l6096,,,,,6096,,219456,,420585,,623570r6096,l6096,420624r,-201168l6096,6096r6081979,l6088075,219456r,201129l6088075,623570r6083,l6094158,420624r,-201168l6094158,6096r,-6096xe" fillcolor="black" stroked="f">
                  <v:path arrowok="t"/>
                </v:shape>
                <v:shapetype id="_x0000_t202" coordsize="21600,21600" o:spt="202" path="m,l,21600r21600,l21600,xe">
                  <v:stroke joinstyle="miter"/>
                  <v:path gradientshapeok="t" o:connecttype="rect"/>
                </v:shapetype>
                <v:shape id="Textbox 7" o:spid="_x0000_s1028" type="#_x0000_t202" style="position:absolute;left:60;top:60;width:60821;height:6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B02D047" w14:textId="77777777" w:rsidR="00161C10" w:rsidRDefault="00CE2C8C">
                        <w:pPr>
                          <w:spacing w:before="19" w:line="276" w:lineRule="auto"/>
                          <w:ind w:left="107" w:right="113"/>
                          <w:jc w:val="both"/>
                          <w:rPr>
                            <w:rFonts w:ascii="Arial"/>
                            <w:b/>
                            <w:sz w:val="24"/>
                          </w:rPr>
                        </w:pPr>
                        <w:r>
                          <w:rPr>
                            <w:rFonts w:ascii="Arial"/>
                            <w:b/>
                            <w:sz w:val="24"/>
                          </w:rPr>
                          <w:t>The Committee urges the EU to move the coordination of the UNCRPD implementation from DG EMPL to DG JUST or the Secretariat General, to ensure that</w:t>
                        </w:r>
                        <w:r>
                          <w:rPr>
                            <w:rFonts w:ascii="Arial"/>
                            <w:b/>
                            <w:spacing w:val="-6"/>
                            <w:sz w:val="24"/>
                          </w:rPr>
                          <w:t xml:space="preserve"> </w:t>
                        </w:r>
                        <w:r>
                          <w:rPr>
                            <w:rFonts w:ascii="Arial"/>
                            <w:b/>
                            <w:sz w:val="24"/>
                          </w:rPr>
                          <w:t>all</w:t>
                        </w:r>
                        <w:r>
                          <w:rPr>
                            <w:rFonts w:ascii="Arial"/>
                            <w:b/>
                            <w:spacing w:val="-5"/>
                            <w:sz w:val="24"/>
                          </w:rPr>
                          <w:t xml:space="preserve"> </w:t>
                        </w:r>
                        <w:r>
                          <w:rPr>
                            <w:rFonts w:ascii="Arial"/>
                            <w:b/>
                            <w:sz w:val="24"/>
                          </w:rPr>
                          <w:t>new</w:t>
                        </w:r>
                        <w:r>
                          <w:rPr>
                            <w:rFonts w:ascii="Arial"/>
                            <w:b/>
                            <w:spacing w:val="-5"/>
                            <w:sz w:val="24"/>
                          </w:rPr>
                          <w:t xml:space="preserve"> </w:t>
                        </w:r>
                        <w:r>
                          <w:rPr>
                            <w:rFonts w:ascii="Arial"/>
                            <w:b/>
                            <w:sz w:val="24"/>
                          </w:rPr>
                          <w:t>legislation</w:t>
                        </w:r>
                        <w:r>
                          <w:rPr>
                            <w:rFonts w:ascii="Arial"/>
                            <w:b/>
                            <w:spacing w:val="-6"/>
                            <w:sz w:val="24"/>
                          </w:rPr>
                          <w:t xml:space="preserve"> </w:t>
                        </w:r>
                        <w:r>
                          <w:rPr>
                            <w:rFonts w:ascii="Arial"/>
                            <w:b/>
                            <w:sz w:val="24"/>
                          </w:rPr>
                          <w:t>is</w:t>
                        </w:r>
                        <w:r>
                          <w:rPr>
                            <w:rFonts w:ascii="Arial"/>
                            <w:b/>
                            <w:spacing w:val="-4"/>
                            <w:sz w:val="24"/>
                          </w:rPr>
                          <w:t xml:space="preserve"> </w:t>
                        </w:r>
                        <w:r>
                          <w:rPr>
                            <w:rFonts w:ascii="Arial"/>
                            <w:b/>
                            <w:sz w:val="24"/>
                          </w:rPr>
                          <w:t>screened</w:t>
                        </w:r>
                        <w:r>
                          <w:rPr>
                            <w:rFonts w:ascii="Arial"/>
                            <w:b/>
                            <w:spacing w:val="-6"/>
                            <w:sz w:val="24"/>
                          </w:rPr>
                          <w:t xml:space="preserve"> </w:t>
                        </w:r>
                        <w:r>
                          <w:rPr>
                            <w:rFonts w:ascii="Arial"/>
                            <w:b/>
                            <w:sz w:val="24"/>
                          </w:rPr>
                          <w:t>and</w:t>
                        </w:r>
                        <w:r>
                          <w:rPr>
                            <w:rFonts w:ascii="Arial"/>
                            <w:b/>
                            <w:spacing w:val="-6"/>
                            <w:sz w:val="24"/>
                          </w:rPr>
                          <w:t xml:space="preserve"> </w:t>
                        </w:r>
                        <w:r>
                          <w:rPr>
                            <w:rFonts w:ascii="Arial"/>
                            <w:b/>
                            <w:sz w:val="24"/>
                          </w:rPr>
                          <w:t>follows</w:t>
                        </w:r>
                        <w:r>
                          <w:rPr>
                            <w:rFonts w:ascii="Arial"/>
                            <w:b/>
                            <w:spacing w:val="-4"/>
                            <w:sz w:val="24"/>
                          </w:rPr>
                          <w:t xml:space="preserve"> </w:t>
                        </w:r>
                        <w:r>
                          <w:rPr>
                            <w:rFonts w:ascii="Arial"/>
                            <w:b/>
                            <w:sz w:val="24"/>
                          </w:rPr>
                          <w:t>disability</w:t>
                        </w:r>
                        <w:r>
                          <w:rPr>
                            <w:rFonts w:ascii="Arial"/>
                            <w:b/>
                            <w:spacing w:val="-5"/>
                            <w:sz w:val="24"/>
                          </w:rPr>
                          <w:t xml:space="preserve"> </w:t>
                        </w:r>
                        <w:r>
                          <w:rPr>
                            <w:rFonts w:ascii="Arial"/>
                            <w:b/>
                            <w:sz w:val="24"/>
                          </w:rPr>
                          <w:t>inclusion</w:t>
                        </w:r>
                        <w:r>
                          <w:rPr>
                            <w:rFonts w:ascii="Arial"/>
                            <w:b/>
                            <w:spacing w:val="-6"/>
                            <w:sz w:val="24"/>
                          </w:rPr>
                          <w:t xml:space="preserve"> </w:t>
                        </w:r>
                        <w:r>
                          <w:rPr>
                            <w:rFonts w:ascii="Arial"/>
                            <w:b/>
                            <w:sz w:val="24"/>
                          </w:rPr>
                          <w:t>guidelines.</w:t>
                        </w:r>
                        <w:r>
                          <w:rPr>
                            <w:rFonts w:ascii="Arial"/>
                            <w:b/>
                            <w:spacing w:val="-7"/>
                            <w:sz w:val="24"/>
                          </w:rPr>
                          <w:t xml:space="preserve"> </w:t>
                        </w:r>
                        <w:r>
                          <w:rPr>
                            <w:rFonts w:ascii="Arial"/>
                            <w:b/>
                            <w:sz w:val="24"/>
                          </w:rPr>
                          <w:t>The</w:t>
                        </w:r>
                      </w:p>
                    </w:txbxContent>
                  </v:textbox>
                </v:shape>
                <w10:wrap type="topAndBottom" anchorx="page"/>
              </v:group>
            </w:pict>
          </mc:Fallback>
        </mc:AlternateContent>
      </w:r>
    </w:p>
    <w:p w14:paraId="2779187A" w14:textId="77777777" w:rsidR="00161C10" w:rsidRDefault="00161C10">
      <w:pPr>
        <w:pStyle w:val="BodyText"/>
        <w:rPr>
          <w:rFonts w:ascii="Arial"/>
          <w:b/>
          <w:i/>
          <w:sz w:val="12"/>
        </w:rPr>
        <w:sectPr w:rsidR="00161C10">
          <w:pgSz w:w="12240" w:h="15840"/>
          <w:pgMar w:top="1360" w:right="1080" w:bottom="1540" w:left="1080" w:header="0" w:footer="1274" w:gutter="0"/>
          <w:cols w:space="720"/>
        </w:sectPr>
      </w:pPr>
    </w:p>
    <w:p w14:paraId="6BACD6DC" w14:textId="77777777" w:rsidR="00161C10" w:rsidRDefault="00CE2C8C">
      <w:pPr>
        <w:pStyle w:val="BodyText"/>
        <w:ind w:left="242"/>
        <w:rPr>
          <w:rFonts w:ascii="Arial"/>
          <w:sz w:val="20"/>
        </w:rPr>
      </w:pPr>
      <w:r>
        <w:rPr>
          <w:rFonts w:ascii="Arial"/>
          <w:noProof/>
          <w:sz w:val="20"/>
        </w:rPr>
        <w:lastRenderedPageBreak/>
        <mc:AlternateContent>
          <mc:Choice Requires="wpg">
            <w:drawing>
              <wp:inline distT="0" distB="0" distL="0" distR="0" wp14:anchorId="665B99E0" wp14:editId="632B1A70">
                <wp:extent cx="6094730" cy="1227455"/>
                <wp:effectExtent l="0" t="0" r="0" b="1269"/>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730" cy="1227455"/>
                          <a:chOff x="0" y="0"/>
                          <a:chExt cx="6094730" cy="1227455"/>
                        </a:xfrm>
                      </wpg:grpSpPr>
                      <wps:wsp>
                        <wps:cNvPr id="9" name="Graphic 9"/>
                        <wps:cNvSpPr/>
                        <wps:spPr>
                          <a:xfrm>
                            <a:off x="0" y="0"/>
                            <a:ext cx="6094730" cy="1227455"/>
                          </a:xfrm>
                          <a:custGeom>
                            <a:avLst/>
                            <a:gdLst/>
                            <a:ahLst/>
                            <a:cxnLst/>
                            <a:rect l="l" t="t" r="r" b="b"/>
                            <a:pathLst>
                              <a:path w="6094730" h="1227455">
                                <a:moveTo>
                                  <a:pt x="6094158" y="0"/>
                                </a:moveTo>
                                <a:lnTo>
                                  <a:pt x="6088075" y="0"/>
                                </a:lnTo>
                                <a:lnTo>
                                  <a:pt x="6088075" y="201472"/>
                                </a:lnTo>
                                <a:lnTo>
                                  <a:pt x="6088075" y="402640"/>
                                </a:lnTo>
                                <a:lnTo>
                                  <a:pt x="6088075" y="605332"/>
                                </a:lnTo>
                                <a:lnTo>
                                  <a:pt x="6088075" y="806500"/>
                                </a:lnTo>
                                <a:lnTo>
                                  <a:pt x="6088075" y="1007668"/>
                                </a:lnTo>
                                <a:lnTo>
                                  <a:pt x="6088075" y="1221028"/>
                                </a:lnTo>
                                <a:lnTo>
                                  <a:pt x="6096" y="1221028"/>
                                </a:lnTo>
                                <a:lnTo>
                                  <a:pt x="6096" y="0"/>
                                </a:lnTo>
                                <a:lnTo>
                                  <a:pt x="0" y="0"/>
                                </a:lnTo>
                                <a:lnTo>
                                  <a:pt x="0" y="1227124"/>
                                </a:lnTo>
                                <a:lnTo>
                                  <a:pt x="6096" y="1227124"/>
                                </a:lnTo>
                                <a:lnTo>
                                  <a:pt x="6088075" y="1227124"/>
                                </a:lnTo>
                                <a:lnTo>
                                  <a:pt x="6094158" y="1227124"/>
                                </a:lnTo>
                                <a:lnTo>
                                  <a:pt x="6094158" y="1221028"/>
                                </a:lnTo>
                                <a:lnTo>
                                  <a:pt x="6094158" y="201472"/>
                                </a:lnTo>
                                <a:lnTo>
                                  <a:pt x="6094158"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6095" y="0"/>
                            <a:ext cx="6082030" cy="1221105"/>
                          </a:xfrm>
                          <a:prstGeom prst="rect">
                            <a:avLst/>
                          </a:prstGeom>
                        </wps:spPr>
                        <wps:txbx>
                          <w:txbxContent>
                            <w:p w14:paraId="7423FE02" w14:textId="77777777" w:rsidR="00161C10" w:rsidRDefault="00CE2C8C">
                              <w:pPr>
                                <w:spacing w:before="1" w:line="276" w:lineRule="auto"/>
                                <w:ind w:left="107" w:right="109"/>
                                <w:jc w:val="both"/>
                                <w:rPr>
                                  <w:rFonts w:ascii="Arial" w:hAnsi="Arial"/>
                                  <w:b/>
                                  <w:sz w:val="24"/>
                                </w:rPr>
                              </w:pPr>
                              <w:r>
                                <w:rPr>
                                  <w:rFonts w:ascii="Arial" w:hAnsi="Arial"/>
                                  <w:b/>
                                  <w:sz w:val="24"/>
                                </w:rPr>
                                <w:t>EU must</w:t>
                              </w:r>
                              <w:r>
                                <w:rPr>
                                  <w:rFonts w:ascii="Arial" w:hAnsi="Arial"/>
                                  <w:b/>
                                  <w:spacing w:val="-1"/>
                                  <w:sz w:val="24"/>
                                </w:rPr>
                                <w:t xml:space="preserve"> </w:t>
                              </w:r>
                              <w:r>
                                <w:rPr>
                                  <w:rFonts w:ascii="Arial" w:hAnsi="Arial"/>
                                  <w:b/>
                                  <w:sz w:val="24"/>
                                </w:rPr>
                                <w:t>put</w:t>
                              </w:r>
                              <w:r>
                                <w:rPr>
                                  <w:rFonts w:ascii="Arial" w:hAnsi="Arial"/>
                                  <w:b/>
                                  <w:spacing w:val="-1"/>
                                  <w:sz w:val="24"/>
                                </w:rPr>
                                <w:t xml:space="preserve"> </w:t>
                              </w:r>
                              <w:r>
                                <w:rPr>
                                  <w:rFonts w:ascii="Arial" w:hAnsi="Arial"/>
                                  <w:b/>
                                  <w:sz w:val="24"/>
                                </w:rPr>
                                <w:t>in place a monitoring mechanism for implementation of</w:t>
                              </w:r>
                              <w:r>
                                <w:rPr>
                                  <w:rFonts w:ascii="Arial" w:hAnsi="Arial"/>
                                  <w:b/>
                                  <w:spacing w:val="-1"/>
                                  <w:sz w:val="24"/>
                                </w:rPr>
                                <w:t xml:space="preserve"> </w:t>
                              </w:r>
                              <w:r>
                                <w:rPr>
                                  <w:rFonts w:ascii="Arial" w:hAnsi="Arial"/>
                                  <w:b/>
                                  <w:sz w:val="24"/>
                                </w:rPr>
                                <w:t xml:space="preserve">the UNCRPD with an oversight of all EU actions and with the full involvement of disabled people’s </w:t>
                              </w:r>
                              <w:proofErr w:type="spellStart"/>
                              <w:r>
                                <w:rPr>
                                  <w:rFonts w:ascii="Arial" w:hAnsi="Arial"/>
                                  <w:b/>
                                  <w:sz w:val="24"/>
                                </w:rPr>
                                <w:t>organisations</w:t>
                              </w:r>
                              <w:proofErr w:type="spellEnd"/>
                              <w:r>
                                <w:rPr>
                                  <w:rFonts w:ascii="Arial" w:hAnsi="Arial"/>
                                  <w:b/>
                                  <w:sz w:val="24"/>
                                </w:rPr>
                                <w:t>. This would lead to better coordination between the different DGs in the European Commission and between the Commission, the European Parliament and the Council, and ensure that the UNCRPD is mainstreamed in all matters of EU competence.</w:t>
                              </w:r>
                            </w:p>
                          </w:txbxContent>
                        </wps:txbx>
                        <wps:bodyPr wrap="square" lIns="0" tIns="0" rIns="0" bIns="0" rtlCol="0">
                          <a:noAutofit/>
                        </wps:bodyPr>
                      </wps:wsp>
                    </wpg:wgp>
                  </a:graphicData>
                </a:graphic>
              </wp:inline>
            </w:drawing>
          </mc:Choice>
          <mc:Fallback>
            <w:pict>
              <v:group w14:anchorId="665B99E0" id="Group 8" o:spid="_x0000_s1029" style="width:479.9pt;height:96.65pt;mso-position-horizontal-relative:char;mso-position-vertical-relative:line" coordsize="60947,1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">
                <v:shape id="Graphic 9" o:spid="_x0000_s1030" style="position:absolute;width:60947;height:12274;visibility:visible;mso-wrap-style:square;v-text-anchor:top" coordsize="6094730,122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" path="m6094158,r-6083,l6088075,201472r,201168l6088075,605332r,201168l6088075,1007668r,213360l6096,1221028,6096,,,,,1227124r6096,l6088075,1227124r6083,l6094158,1221028r,-1019556l6094158,xe" fillcolor="black" stroked="f">
                  <v:path arrowok="t"/>
                </v:shape>
                <v:shape id="Textbox 10" o:spid="_x0000_s1031" type="#_x0000_t202" style="position:absolute;left:60;width:60821;height:12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423FE02" w14:textId="77777777" w:rsidR="00161C10" w:rsidRDefault="00CE2C8C">
                        <w:pPr>
                          <w:spacing w:before="1" w:line="276" w:lineRule="auto"/>
                          <w:ind w:left="107" w:right="109"/>
                          <w:jc w:val="both"/>
                          <w:rPr>
                            <w:rFonts w:ascii="Arial" w:hAnsi="Arial"/>
                            <w:b/>
                            <w:sz w:val="24"/>
                          </w:rPr>
                        </w:pPr>
                        <w:r>
                          <w:rPr>
                            <w:rFonts w:ascii="Arial" w:hAnsi="Arial"/>
                            <w:b/>
                            <w:sz w:val="24"/>
                          </w:rPr>
                          <w:t>EU must</w:t>
                        </w:r>
                        <w:r>
                          <w:rPr>
                            <w:rFonts w:ascii="Arial" w:hAnsi="Arial"/>
                            <w:b/>
                            <w:spacing w:val="-1"/>
                            <w:sz w:val="24"/>
                          </w:rPr>
                          <w:t xml:space="preserve"> </w:t>
                        </w:r>
                        <w:r>
                          <w:rPr>
                            <w:rFonts w:ascii="Arial" w:hAnsi="Arial"/>
                            <w:b/>
                            <w:sz w:val="24"/>
                          </w:rPr>
                          <w:t>put</w:t>
                        </w:r>
                        <w:r>
                          <w:rPr>
                            <w:rFonts w:ascii="Arial" w:hAnsi="Arial"/>
                            <w:b/>
                            <w:spacing w:val="-1"/>
                            <w:sz w:val="24"/>
                          </w:rPr>
                          <w:t xml:space="preserve"> </w:t>
                        </w:r>
                        <w:r>
                          <w:rPr>
                            <w:rFonts w:ascii="Arial" w:hAnsi="Arial"/>
                            <w:b/>
                            <w:sz w:val="24"/>
                          </w:rPr>
                          <w:t>in place a monitoring mechanism for implementation of</w:t>
                        </w:r>
                        <w:r>
                          <w:rPr>
                            <w:rFonts w:ascii="Arial" w:hAnsi="Arial"/>
                            <w:b/>
                            <w:spacing w:val="-1"/>
                            <w:sz w:val="24"/>
                          </w:rPr>
                          <w:t xml:space="preserve"> </w:t>
                        </w:r>
                        <w:r>
                          <w:rPr>
                            <w:rFonts w:ascii="Arial" w:hAnsi="Arial"/>
                            <w:b/>
                            <w:sz w:val="24"/>
                          </w:rPr>
                          <w:t xml:space="preserve">the UNCRPD with an oversight of all EU actions and with the full involvement of disabled people’s </w:t>
                        </w:r>
                        <w:proofErr w:type="spellStart"/>
                        <w:r>
                          <w:rPr>
                            <w:rFonts w:ascii="Arial" w:hAnsi="Arial"/>
                            <w:b/>
                            <w:sz w:val="24"/>
                          </w:rPr>
                          <w:t>organisations</w:t>
                        </w:r>
                        <w:proofErr w:type="spellEnd"/>
                        <w:r>
                          <w:rPr>
                            <w:rFonts w:ascii="Arial" w:hAnsi="Arial"/>
                            <w:b/>
                            <w:sz w:val="24"/>
                          </w:rPr>
                          <w:t>. This would lead to better coordination between the different DGs in the European Commission and between the Commission, the European Parliament and the Council, and ensure that the UNCRPD is mainstreamed in all matters of EU competence.</w:t>
                        </w:r>
                      </w:p>
                    </w:txbxContent>
                  </v:textbox>
                </v:shape>
                <w10:anchorlock/>
              </v:group>
            </w:pict>
          </mc:Fallback>
        </mc:AlternateContent>
      </w:r>
    </w:p>
    <w:p w14:paraId="60BBAE41" w14:textId="77777777" w:rsidR="00161C10" w:rsidRDefault="00CE2C8C">
      <w:pPr>
        <w:pStyle w:val="Heading4"/>
        <w:numPr>
          <w:ilvl w:val="0"/>
          <w:numId w:val="10"/>
        </w:numPr>
        <w:tabs>
          <w:tab w:val="left" w:pos="1073"/>
        </w:tabs>
        <w:spacing w:before="216"/>
        <w:ind w:hanging="355"/>
        <w:jc w:val="left"/>
      </w:pPr>
      <w:r>
        <w:t>Reply</w:t>
      </w:r>
      <w:r>
        <w:rPr>
          <w:spacing w:val="-2"/>
        </w:rPr>
        <w:t xml:space="preserve"> </w:t>
      </w:r>
      <w:r>
        <w:t>to</w:t>
      </w:r>
      <w:r>
        <w:rPr>
          <w:spacing w:val="-1"/>
        </w:rPr>
        <w:t xml:space="preserve"> </w:t>
      </w:r>
      <w:r>
        <w:t>issues</w:t>
      </w:r>
      <w:r>
        <w:rPr>
          <w:spacing w:val="-4"/>
        </w:rPr>
        <w:t xml:space="preserve"> </w:t>
      </w:r>
      <w:r>
        <w:t>raised</w:t>
      </w:r>
      <w:r>
        <w:rPr>
          <w:spacing w:val="-1"/>
        </w:rPr>
        <w:t xml:space="preserve"> </w:t>
      </w:r>
      <w:r>
        <w:t>in</w:t>
      </w:r>
      <w:r>
        <w:rPr>
          <w:spacing w:val="-1"/>
        </w:rPr>
        <w:t xml:space="preserve"> </w:t>
      </w:r>
      <w:r>
        <w:t>paragraph</w:t>
      </w:r>
      <w:r>
        <w:rPr>
          <w:spacing w:val="-2"/>
        </w:rPr>
        <w:t xml:space="preserve"> </w:t>
      </w:r>
      <w:r>
        <w:t>1c</w:t>
      </w:r>
      <w:r>
        <w:rPr>
          <w:spacing w:val="-3"/>
        </w:rPr>
        <w:t xml:space="preserve"> </w:t>
      </w:r>
      <w:r>
        <w:t>of</w:t>
      </w:r>
      <w:r>
        <w:rPr>
          <w:spacing w:val="-2"/>
        </w:rPr>
        <w:t xml:space="preserve"> </w:t>
      </w:r>
      <w:r>
        <w:t>the</w:t>
      </w:r>
      <w:r>
        <w:rPr>
          <w:spacing w:val="-1"/>
        </w:rPr>
        <w:t xml:space="preserve"> </w:t>
      </w:r>
      <w:r>
        <w:t>list</w:t>
      </w:r>
      <w:r>
        <w:rPr>
          <w:spacing w:val="-1"/>
        </w:rPr>
        <w:t xml:space="preserve"> </w:t>
      </w:r>
      <w:r>
        <w:t>of</w:t>
      </w:r>
      <w:r>
        <w:rPr>
          <w:spacing w:val="-4"/>
        </w:rPr>
        <w:t xml:space="preserve"> </w:t>
      </w:r>
      <w:r>
        <w:rPr>
          <w:spacing w:val="-2"/>
        </w:rPr>
        <w:t>issues</w:t>
      </w:r>
    </w:p>
    <w:p w14:paraId="1B18E907" w14:textId="77777777" w:rsidR="00161C10" w:rsidRDefault="00CE2C8C">
      <w:pPr>
        <w:spacing w:before="159" w:line="276" w:lineRule="auto"/>
        <w:ind w:left="360" w:right="354"/>
        <w:jc w:val="both"/>
        <w:rPr>
          <w:rFonts w:ascii="Arial" w:hAnsi="Arial"/>
          <w:i/>
          <w:sz w:val="24"/>
        </w:rPr>
      </w:pPr>
      <w:r>
        <w:rPr>
          <w:rFonts w:ascii="Arial" w:hAnsi="Arial"/>
          <w:i/>
          <w:sz w:val="24"/>
        </w:rPr>
        <w:t>The European Union states that “The rules governing the EU cohesion policy funds contain</w:t>
      </w:r>
      <w:r>
        <w:rPr>
          <w:rFonts w:ascii="Arial" w:hAnsi="Arial"/>
          <w:i/>
          <w:spacing w:val="-12"/>
          <w:sz w:val="24"/>
        </w:rPr>
        <w:t xml:space="preserve"> </w:t>
      </w:r>
      <w:r>
        <w:rPr>
          <w:rFonts w:ascii="Arial" w:hAnsi="Arial"/>
          <w:i/>
          <w:sz w:val="24"/>
        </w:rPr>
        <w:t>specific</w:t>
      </w:r>
      <w:r>
        <w:rPr>
          <w:rFonts w:ascii="Arial" w:hAnsi="Arial"/>
          <w:i/>
          <w:spacing w:val="-14"/>
          <w:sz w:val="24"/>
        </w:rPr>
        <w:t xml:space="preserve"> </w:t>
      </w:r>
      <w:r>
        <w:rPr>
          <w:rFonts w:ascii="Arial" w:hAnsi="Arial"/>
          <w:i/>
          <w:sz w:val="24"/>
        </w:rPr>
        <w:t>provisions</w:t>
      </w:r>
      <w:r>
        <w:rPr>
          <w:rFonts w:ascii="Arial" w:hAnsi="Arial"/>
          <w:i/>
          <w:spacing w:val="-14"/>
          <w:sz w:val="24"/>
        </w:rPr>
        <w:t xml:space="preserve"> </w:t>
      </w:r>
      <w:r>
        <w:rPr>
          <w:rFonts w:ascii="Arial" w:hAnsi="Arial"/>
          <w:i/>
          <w:sz w:val="24"/>
        </w:rPr>
        <w:t>for</w:t>
      </w:r>
      <w:r>
        <w:rPr>
          <w:rFonts w:ascii="Arial" w:hAnsi="Arial"/>
          <w:i/>
          <w:spacing w:val="-15"/>
          <w:sz w:val="24"/>
        </w:rPr>
        <w:t xml:space="preserve"> </w:t>
      </w:r>
      <w:r>
        <w:rPr>
          <w:rFonts w:ascii="Arial" w:hAnsi="Arial"/>
          <w:i/>
          <w:sz w:val="24"/>
        </w:rPr>
        <w:t>persons</w:t>
      </w:r>
      <w:r>
        <w:rPr>
          <w:rFonts w:ascii="Arial" w:hAnsi="Arial"/>
          <w:i/>
          <w:spacing w:val="-14"/>
          <w:sz w:val="24"/>
        </w:rPr>
        <w:t xml:space="preserve"> </w:t>
      </w:r>
      <w:r>
        <w:rPr>
          <w:rFonts w:ascii="Arial" w:hAnsi="Arial"/>
          <w:i/>
          <w:sz w:val="24"/>
        </w:rPr>
        <w:t>with</w:t>
      </w:r>
      <w:r>
        <w:rPr>
          <w:rFonts w:ascii="Arial" w:hAnsi="Arial"/>
          <w:i/>
          <w:spacing w:val="-13"/>
          <w:sz w:val="24"/>
        </w:rPr>
        <w:t xml:space="preserve"> </w:t>
      </w:r>
      <w:r>
        <w:rPr>
          <w:rFonts w:ascii="Arial" w:hAnsi="Arial"/>
          <w:i/>
          <w:sz w:val="24"/>
        </w:rPr>
        <w:t>disabilities.</w:t>
      </w:r>
      <w:r>
        <w:rPr>
          <w:rFonts w:ascii="Arial" w:hAnsi="Arial"/>
          <w:i/>
          <w:spacing w:val="-12"/>
          <w:sz w:val="24"/>
        </w:rPr>
        <w:t xml:space="preserve"> </w:t>
      </w:r>
      <w:r>
        <w:rPr>
          <w:rFonts w:ascii="Arial" w:hAnsi="Arial"/>
          <w:i/>
          <w:sz w:val="24"/>
        </w:rPr>
        <w:t>They</w:t>
      </w:r>
      <w:r>
        <w:rPr>
          <w:rFonts w:ascii="Arial" w:hAnsi="Arial"/>
          <w:i/>
          <w:spacing w:val="-14"/>
          <w:sz w:val="24"/>
        </w:rPr>
        <w:t xml:space="preserve"> </w:t>
      </w:r>
      <w:r>
        <w:rPr>
          <w:rFonts w:ascii="Arial" w:hAnsi="Arial"/>
          <w:i/>
          <w:sz w:val="24"/>
        </w:rPr>
        <w:t>refer</w:t>
      </w:r>
      <w:r>
        <w:rPr>
          <w:rFonts w:ascii="Arial" w:hAnsi="Arial"/>
          <w:i/>
          <w:spacing w:val="-15"/>
          <w:sz w:val="24"/>
        </w:rPr>
        <w:t xml:space="preserve"> </w:t>
      </w:r>
      <w:r>
        <w:rPr>
          <w:rFonts w:ascii="Arial" w:hAnsi="Arial"/>
          <w:i/>
          <w:sz w:val="24"/>
        </w:rPr>
        <w:t>to</w:t>
      </w:r>
      <w:r>
        <w:rPr>
          <w:rFonts w:ascii="Arial" w:hAnsi="Arial"/>
          <w:i/>
          <w:spacing w:val="-15"/>
          <w:sz w:val="24"/>
        </w:rPr>
        <w:t xml:space="preserve"> </w:t>
      </w:r>
      <w:r>
        <w:rPr>
          <w:rFonts w:ascii="Arial" w:hAnsi="Arial"/>
          <w:i/>
          <w:sz w:val="24"/>
        </w:rPr>
        <w:t>the</w:t>
      </w:r>
      <w:r>
        <w:rPr>
          <w:rFonts w:ascii="Arial" w:hAnsi="Arial"/>
          <w:i/>
          <w:spacing w:val="-13"/>
          <w:sz w:val="24"/>
        </w:rPr>
        <w:t xml:space="preserve"> </w:t>
      </w:r>
      <w:r>
        <w:rPr>
          <w:rFonts w:ascii="Arial" w:hAnsi="Arial"/>
          <w:i/>
          <w:sz w:val="24"/>
        </w:rPr>
        <w:t>UNCRPD</w:t>
      </w:r>
      <w:r>
        <w:rPr>
          <w:rFonts w:ascii="Arial" w:hAnsi="Arial"/>
          <w:i/>
          <w:spacing w:val="-12"/>
          <w:sz w:val="24"/>
        </w:rPr>
        <w:t xml:space="preserve"> </w:t>
      </w:r>
      <w:r>
        <w:rPr>
          <w:rFonts w:ascii="Arial" w:hAnsi="Arial"/>
          <w:i/>
          <w:sz w:val="24"/>
        </w:rPr>
        <w:t>in</w:t>
      </w:r>
      <w:r>
        <w:rPr>
          <w:rFonts w:ascii="Arial" w:hAnsi="Arial"/>
          <w:i/>
          <w:spacing w:val="-12"/>
          <w:sz w:val="24"/>
        </w:rPr>
        <w:t xml:space="preserve"> </w:t>
      </w:r>
      <w:r>
        <w:rPr>
          <w:rFonts w:ascii="Arial" w:hAnsi="Arial"/>
          <w:i/>
          <w:sz w:val="24"/>
        </w:rPr>
        <w:t xml:space="preserve">their enabling conditions and require accessibility to be </w:t>
      </w:r>
      <w:proofErr w:type="gramStart"/>
      <w:r>
        <w:rPr>
          <w:rFonts w:ascii="Arial" w:hAnsi="Arial"/>
          <w:i/>
          <w:sz w:val="24"/>
        </w:rPr>
        <w:t>taken into account</w:t>
      </w:r>
      <w:proofErr w:type="gramEnd"/>
      <w:r>
        <w:rPr>
          <w:rFonts w:ascii="Arial" w:hAnsi="Arial"/>
          <w:i/>
          <w:sz w:val="24"/>
        </w:rPr>
        <w:t xml:space="preserve"> throughout the preparation and implementation of </w:t>
      </w:r>
      <w:proofErr w:type="spellStart"/>
      <w:r>
        <w:rPr>
          <w:rFonts w:ascii="Arial" w:hAnsi="Arial"/>
          <w:i/>
          <w:sz w:val="24"/>
        </w:rPr>
        <w:t>programmes</w:t>
      </w:r>
      <w:proofErr w:type="spellEnd"/>
      <w:r>
        <w:rPr>
          <w:rFonts w:ascii="Arial" w:hAnsi="Arial"/>
          <w:i/>
          <w:sz w:val="24"/>
        </w:rPr>
        <w:t>.”</w:t>
      </w:r>
    </w:p>
    <w:p w14:paraId="25B07D39" w14:textId="77777777" w:rsidR="00161C10" w:rsidRDefault="00CE2C8C">
      <w:pPr>
        <w:pStyle w:val="BodyText"/>
        <w:spacing w:before="120" w:line="276" w:lineRule="auto"/>
        <w:ind w:left="360" w:right="354"/>
        <w:jc w:val="both"/>
      </w:pPr>
      <w:r>
        <w:t>The European Commission is responsible for monitoring the EU cohesion policy funds, and therefore the Commission must ascertain if the Member States fulfill horizontal and thematic enabling conditions. Importantly, the enabling conditions must remain fulfilled throughout the programming period (currently 2021 - 2027).</w:t>
      </w:r>
    </w:p>
    <w:p w14:paraId="7EC0B8B6" w14:textId="77777777" w:rsidR="00161C10" w:rsidRDefault="00CE2C8C">
      <w:pPr>
        <w:pStyle w:val="BodyText"/>
        <w:spacing w:before="120" w:line="276" w:lineRule="auto"/>
        <w:ind w:left="360" w:right="354"/>
        <w:jc w:val="both"/>
      </w:pPr>
      <w:proofErr w:type="gramStart"/>
      <w:r>
        <w:t>In order to</w:t>
      </w:r>
      <w:proofErr w:type="gramEnd"/>
      <w:r>
        <w:t xml:space="preserve"> establish how the European Commission evaluates whether the horizontal enabling</w:t>
      </w:r>
      <w:r>
        <w:rPr>
          <w:spacing w:val="-2"/>
        </w:rPr>
        <w:t xml:space="preserve"> </w:t>
      </w:r>
      <w:r>
        <w:t>conditions</w:t>
      </w:r>
      <w:r>
        <w:rPr>
          <w:spacing w:val="-4"/>
        </w:rPr>
        <w:t xml:space="preserve"> </w:t>
      </w:r>
      <w:r>
        <w:t>have</w:t>
      </w:r>
      <w:r>
        <w:rPr>
          <w:spacing w:val="-2"/>
        </w:rPr>
        <w:t xml:space="preserve"> </w:t>
      </w:r>
      <w:r>
        <w:t>been</w:t>
      </w:r>
      <w:r>
        <w:rPr>
          <w:spacing w:val="-2"/>
        </w:rPr>
        <w:t xml:space="preserve"> </w:t>
      </w:r>
      <w:r>
        <w:t>fulfilled,</w:t>
      </w:r>
      <w:r>
        <w:rPr>
          <w:spacing w:val="-2"/>
        </w:rPr>
        <w:t xml:space="preserve"> </w:t>
      </w:r>
      <w:r>
        <w:t>ENIL</w:t>
      </w:r>
      <w:r>
        <w:rPr>
          <w:spacing w:val="-4"/>
        </w:rPr>
        <w:t xml:space="preserve"> </w:t>
      </w:r>
      <w:r>
        <w:t>submitted</w:t>
      </w:r>
      <w:r>
        <w:rPr>
          <w:spacing w:val="-4"/>
        </w:rPr>
        <w:t xml:space="preserve"> </w:t>
      </w:r>
      <w:r>
        <w:t>an</w:t>
      </w:r>
      <w:r>
        <w:rPr>
          <w:spacing w:val="-2"/>
        </w:rPr>
        <w:t xml:space="preserve"> </w:t>
      </w:r>
      <w:r>
        <w:t>access</w:t>
      </w:r>
      <w:r>
        <w:rPr>
          <w:spacing w:val="-2"/>
        </w:rPr>
        <w:t xml:space="preserve"> </w:t>
      </w:r>
      <w:r>
        <w:t>to</w:t>
      </w:r>
      <w:r>
        <w:rPr>
          <w:spacing w:val="-2"/>
        </w:rPr>
        <w:t xml:space="preserve"> </w:t>
      </w:r>
      <w:r>
        <w:t>documents</w:t>
      </w:r>
      <w:r>
        <w:rPr>
          <w:spacing w:val="-2"/>
        </w:rPr>
        <w:t xml:space="preserve"> </w:t>
      </w:r>
      <w:r>
        <w:t>request to the</w:t>
      </w:r>
      <w:r>
        <w:rPr>
          <w:spacing w:val="-2"/>
        </w:rPr>
        <w:t xml:space="preserve"> </w:t>
      </w:r>
      <w:r>
        <w:t>Commission</w:t>
      </w:r>
      <w:r>
        <w:rPr>
          <w:spacing w:val="-2"/>
        </w:rPr>
        <w:t xml:space="preserve"> </w:t>
      </w:r>
      <w:r>
        <w:t>on</w:t>
      </w:r>
      <w:r>
        <w:rPr>
          <w:spacing w:val="-3"/>
        </w:rPr>
        <w:t xml:space="preserve"> </w:t>
      </w:r>
      <w:r>
        <w:t>17 October</w:t>
      </w:r>
      <w:r>
        <w:rPr>
          <w:spacing w:val="-2"/>
        </w:rPr>
        <w:t xml:space="preserve"> </w:t>
      </w:r>
      <w:r>
        <w:t>2023.</w:t>
      </w:r>
      <w:r>
        <w:rPr>
          <w:spacing w:val="-3"/>
        </w:rPr>
        <w:t xml:space="preserve"> </w:t>
      </w:r>
      <w:r>
        <w:t>We</w:t>
      </w:r>
      <w:r>
        <w:rPr>
          <w:spacing w:val="-5"/>
        </w:rPr>
        <w:t xml:space="preserve"> </w:t>
      </w:r>
      <w:r>
        <w:t>subsequently</w:t>
      </w:r>
      <w:r>
        <w:rPr>
          <w:spacing w:val="-1"/>
        </w:rPr>
        <w:t xml:space="preserve"> </w:t>
      </w:r>
      <w:r>
        <w:t>received</w:t>
      </w:r>
      <w:r>
        <w:rPr>
          <w:spacing w:val="-2"/>
        </w:rPr>
        <w:t xml:space="preserve"> </w:t>
      </w:r>
      <w:r>
        <w:t>a response</w:t>
      </w:r>
      <w:r>
        <w:rPr>
          <w:spacing w:val="-3"/>
        </w:rPr>
        <w:t xml:space="preserve"> </w:t>
      </w:r>
      <w:r>
        <w:t>focusing on the horizontal enabling condition (HEC) on the implementation and application of the UNCRPD</w:t>
      </w:r>
      <w:r>
        <w:rPr>
          <w:spacing w:val="-7"/>
        </w:rPr>
        <w:t xml:space="preserve"> </w:t>
      </w:r>
      <w:r>
        <w:t>in</w:t>
      </w:r>
      <w:r>
        <w:rPr>
          <w:spacing w:val="-6"/>
        </w:rPr>
        <w:t xml:space="preserve"> </w:t>
      </w:r>
      <w:r>
        <w:t>accordance</w:t>
      </w:r>
      <w:r>
        <w:rPr>
          <w:spacing w:val="-6"/>
        </w:rPr>
        <w:t xml:space="preserve"> </w:t>
      </w:r>
      <w:r>
        <w:t>with</w:t>
      </w:r>
      <w:r>
        <w:rPr>
          <w:spacing w:val="-5"/>
        </w:rPr>
        <w:t xml:space="preserve"> </w:t>
      </w:r>
      <w:r>
        <w:t>Council</w:t>
      </w:r>
      <w:r>
        <w:rPr>
          <w:spacing w:val="-7"/>
        </w:rPr>
        <w:t xml:space="preserve"> </w:t>
      </w:r>
      <w:r>
        <w:t>Decision</w:t>
      </w:r>
      <w:r>
        <w:rPr>
          <w:spacing w:val="-6"/>
        </w:rPr>
        <w:t xml:space="preserve"> </w:t>
      </w:r>
      <w:r>
        <w:t>2010/48/EC</w:t>
      </w:r>
      <w:hyperlink w:anchor="_bookmark2" w:history="1">
        <w:r>
          <w:rPr>
            <w:position w:val="8"/>
            <w:sz w:val="16"/>
          </w:rPr>
          <w:t>3</w:t>
        </w:r>
      </w:hyperlink>
      <w:r>
        <w:t>.</w:t>
      </w:r>
      <w:r>
        <w:rPr>
          <w:spacing w:val="-6"/>
        </w:rPr>
        <w:t xml:space="preserve"> </w:t>
      </w:r>
      <w:r>
        <w:t>Among</w:t>
      </w:r>
      <w:r>
        <w:rPr>
          <w:spacing w:val="-8"/>
        </w:rPr>
        <w:t xml:space="preserve"> </w:t>
      </w:r>
      <w:r>
        <w:t>the</w:t>
      </w:r>
      <w:r>
        <w:rPr>
          <w:spacing w:val="-8"/>
        </w:rPr>
        <w:t xml:space="preserve"> </w:t>
      </w:r>
      <w:r>
        <w:t>documents</w:t>
      </w:r>
      <w:r>
        <w:rPr>
          <w:spacing w:val="-6"/>
        </w:rPr>
        <w:t xml:space="preserve"> </w:t>
      </w:r>
      <w:r>
        <w:t xml:space="preserve">was a checklist used by the European Commission </w:t>
      </w:r>
      <w:r>
        <w:rPr>
          <w:rFonts w:ascii="Arial"/>
          <w:i/>
        </w:rPr>
        <w:t xml:space="preserve">(see Annex I) </w:t>
      </w:r>
      <w:r>
        <w:t>and the correspondence between</w:t>
      </w:r>
      <w:r>
        <w:rPr>
          <w:spacing w:val="-14"/>
        </w:rPr>
        <w:t xml:space="preserve"> </w:t>
      </w:r>
      <w:r>
        <w:t>the</w:t>
      </w:r>
      <w:r>
        <w:rPr>
          <w:spacing w:val="-12"/>
        </w:rPr>
        <w:t xml:space="preserve"> </w:t>
      </w:r>
      <w:r>
        <w:t>Commission</w:t>
      </w:r>
      <w:r>
        <w:rPr>
          <w:spacing w:val="-14"/>
        </w:rPr>
        <w:t xml:space="preserve"> </w:t>
      </w:r>
      <w:r>
        <w:t>and</w:t>
      </w:r>
      <w:r>
        <w:rPr>
          <w:spacing w:val="-12"/>
        </w:rPr>
        <w:t xml:space="preserve"> </w:t>
      </w:r>
      <w:r>
        <w:t>the</w:t>
      </w:r>
      <w:r>
        <w:rPr>
          <w:spacing w:val="-14"/>
        </w:rPr>
        <w:t xml:space="preserve"> </w:t>
      </w:r>
      <w:r>
        <w:t>Managing</w:t>
      </w:r>
      <w:r>
        <w:rPr>
          <w:spacing w:val="-14"/>
        </w:rPr>
        <w:t xml:space="preserve"> </w:t>
      </w:r>
      <w:r>
        <w:t>Authority</w:t>
      </w:r>
      <w:r>
        <w:rPr>
          <w:spacing w:val="-14"/>
        </w:rPr>
        <w:t xml:space="preserve"> </w:t>
      </w:r>
      <w:r>
        <w:t>in</w:t>
      </w:r>
      <w:r>
        <w:rPr>
          <w:spacing w:val="-15"/>
        </w:rPr>
        <w:t xml:space="preserve"> </w:t>
      </w:r>
      <w:r>
        <w:t>Latvia.</w:t>
      </w:r>
      <w:r>
        <w:rPr>
          <w:spacing w:val="-14"/>
        </w:rPr>
        <w:t xml:space="preserve"> </w:t>
      </w:r>
      <w:r>
        <w:t>The</w:t>
      </w:r>
      <w:r>
        <w:rPr>
          <w:spacing w:val="-14"/>
        </w:rPr>
        <w:t xml:space="preserve"> </w:t>
      </w:r>
      <w:r>
        <w:t>checklist</w:t>
      </w:r>
      <w:r>
        <w:rPr>
          <w:spacing w:val="-12"/>
        </w:rPr>
        <w:t xml:space="preserve"> </w:t>
      </w:r>
      <w:r>
        <w:t>sets</w:t>
      </w:r>
      <w:r>
        <w:rPr>
          <w:spacing w:val="-14"/>
        </w:rPr>
        <w:t xml:space="preserve"> </w:t>
      </w:r>
      <w:r>
        <w:t>out</w:t>
      </w:r>
      <w:r>
        <w:rPr>
          <w:spacing w:val="-14"/>
        </w:rPr>
        <w:t xml:space="preserve"> </w:t>
      </w:r>
      <w:r>
        <w:t xml:space="preserve">the different criteria used to establish compliance with the enabling condition on the </w:t>
      </w:r>
      <w:r>
        <w:rPr>
          <w:spacing w:val="-2"/>
        </w:rPr>
        <w:t>UNCRPD:</w:t>
      </w:r>
    </w:p>
    <w:p w14:paraId="427B297C" w14:textId="77777777" w:rsidR="00161C10" w:rsidRDefault="00CE2C8C">
      <w:pPr>
        <w:pStyle w:val="ListParagraph"/>
        <w:numPr>
          <w:ilvl w:val="0"/>
          <w:numId w:val="11"/>
        </w:numPr>
        <w:tabs>
          <w:tab w:val="left" w:pos="1070"/>
          <w:tab w:val="left" w:pos="1073"/>
        </w:tabs>
        <w:spacing w:before="115" w:line="276" w:lineRule="auto"/>
        <w:ind w:right="357"/>
        <w:rPr>
          <w:rFonts w:ascii="Arial MT" w:hAnsi="Arial MT"/>
          <w:sz w:val="24"/>
        </w:rPr>
      </w:pPr>
      <w:r>
        <w:rPr>
          <w:rFonts w:ascii="Arial MT" w:hAnsi="Arial MT"/>
          <w:sz w:val="24"/>
        </w:rPr>
        <w:t>Objectives with measurable goals, data collection and monitoring mechanisms. Among other, desk officers at EC are expected to “</w:t>
      </w:r>
      <w:r>
        <w:rPr>
          <w:rFonts w:ascii="Arial" w:hAnsi="Arial"/>
          <w:i/>
          <w:sz w:val="24"/>
        </w:rPr>
        <w:t>assess whether there are objectives</w:t>
      </w:r>
      <w:r>
        <w:rPr>
          <w:rFonts w:ascii="Arial" w:hAnsi="Arial"/>
          <w:i/>
          <w:spacing w:val="-12"/>
          <w:sz w:val="24"/>
        </w:rPr>
        <w:t xml:space="preserve"> </w:t>
      </w:r>
      <w:r>
        <w:rPr>
          <w:rFonts w:ascii="Arial" w:hAnsi="Arial"/>
          <w:i/>
          <w:sz w:val="24"/>
        </w:rPr>
        <w:t>with</w:t>
      </w:r>
      <w:r>
        <w:rPr>
          <w:rFonts w:ascii="Arial" w:hAnsi="Arial"/>
          <w:i/>
          <w:spacing w:val="-11"/>
          <w:sz w:val="24"/>
        </w:rPr>
        <w:t xml:space="preserve"> </w:t>
      </w:r>
      <w:r>
        <w:rPr>
          <w:rFonts w:ascii="Arial" w:hAnsi="Arial"/>
          <w:i/>
          <w:sz w:val="24"/>
        </w:rPr>
        <w:t>measurable</w:t>
      </w:r>
      <w:r>
        <w:rPr>
          <w:rFonts w:ascii="Arial" w:hAnsi="Arial"/>
          <w:i/>
          <w:spacing w:val="-12"/>
          <w:sz w:val="24"/>
        </w:rPr>
        <w:t xml:space="preserve"> </w:t>
      </w:r>
      <w:r>
        <w:rPr>
          <w:rFonts w:ascii="Arial" w:hAnsi="Arial"/>
          <w:i/>
          <w:sz w:val="24"/>
        </w:rPr>
        <w:t>goals</w:t>
      </w:r>
      <w:r>
        <w:rPr>
          <w:rFonts w:ascii="Arial" w:hAnsi="Arial"/>
          <w:i/>
          <w:spacing w:val="-13"/>
          <w:sz w:val="24"/>
        </w:rPr>
        <w:t xml:space="preserve"> </w:t>
      </w:r>
      <w:r>
        <w:rPr>
          <w:rFonts w:ascii="Arial" w:hAnsi="Arial"/>
          <w:i/>
          <w:sz w:val="24"/>
        </w:rPr>
        <w:t>for</w:t>
      </w:r>
      <w:r>
        <w:rPr>
          <w:rFonts w:ascii="Arial" w:hAnsi="Arial"/>
          <w:i/>
          <w:spacing w:val="-13"/>
          <w:sz w:val="24"/>
        </w:rPr>
        <w:t xml:space="preserve"> </w:t>
      </w:r>
      <w:r>
        <w:rPr>
          <w:rFonts w:ascii="Arial" w:hAnsi="Arial"/>
          <w:i/>
          <w:sz w:val="24"/>
        </w:rPr>
        <w:t>all</w:t>
      </w:r>
      <w:r>
        <w:rPr>
          <w:rFonts w:ascii="Arial" w:hAnsi="Arial"/>
          <w:i/>
          <w:spacing w:val="-14"/>
          <w:sz w:val="24"/>
        </w:rPr>
        <w:t xml:space="preserve"> </w:t>
      </w:r>
      <w:r>
        <w:rPr>
          <w:rFonts w:ascii="Arial" w:hAnsi="Arial"/>
          <w:i/>
          <w:sz w:val="24"/>
        </w:rPr>
        <w:t>aspects</w:t>
      </w:r>
      <w:r>
        <w:rPr>
          <w:rFonts w:ascii="Arial" w:hAnsi="Arial"/>
          <w:i/>
          <w:spacing w:val="-12"/>
          <w:sz w:val="24"/>
        </w:rPr>
        <w:t xml:space="preserve"> </w:t>
      </w:r>
      <w:r>
        <w:rPr>
          <w:rFonts w:ascii="Arial" w:hAnsi="Arial"/>
          <w:i/>
          <w:sz w:val="24"/>
        </w:rPr>
        <w:t>of</w:t>
      </w:r>
      <w:r>
        <w:rPr>
          <w:rFonts w:ascii="Arial" w:hAnsi="Arial"/>
          <w:i/>
          <w:spacing w:val="-12"/>
          <w:sz w:val="24"/>
        </w:rPr>
        <w:t xml:space="preserve"> </w:t>
      </w:r>
      <w:r>
        <w:rPr>
          <w:rFonts w:ascii="Arial" w:hAnsi="Arial"/>
          <w:i/>
          <w:sz w:val="24"/>
        </w:rPr>
        <w:t>the</w:t>
      </w:r>
      <w:r>
        <w:rPr>
          <w:rFonts w:ascii="Arial" w:hAnsi="Arial"/>
          <w:i/>
          <w:spacing w:val="-12"/>
          <w:sz w:val="24"/>
        </w:rPr>
        <w:t xml:space="preserve"> </w:t>
      </w:r>
      <w:r>
        <w:rPr>
          <w:rFonts w:ascii="Arial" w:hAnsi="Arial"/>
          <w:i/>
          <w:sz w:val="24"/>
        </w:rPr>
        <w:t>UN</w:t>
      </w:r>
      <w:r>
        <w:rPr>
          <w:rFonts w:ascii="Arial" w:hAnsi="Arial"/>
          <w:i/>
          <w:spacing w:val="-14"/>
          <w:sz w:val="24"/>
        </w:rPr>
        <w:t xml:space="preserve"> </w:t>
      </w:r>
      <w:r>
        <w:rPr>
          <w:rFonts w:ascii="Arial" w:hAnsi="Arial"/>
          <w:i/>
          <w:sz w:val="24"/>
        </w:rPr>
        <w:t>Convention</w:t>
      </w:r>
      <w:r>
        <w:rPr>
          <w:rFonts w:ascii="Arial" w:hAnsi="Arial"/>
          <w:i/>
          <w:spacing w:val="-12"/>
          <w:sz w:val="24"/>
        </w:rPr>
        <w:t xml:space="preserve"> </w:t>
      </w:r>
      <w:r>
        <w:rPr>
          <w:rFonts w:ascii="Arial" w:hAnsi="Arial"/>
          <w:i/>
          <w:sz w:val="24"/>
        </w:rPr>
        <w:t>for</w:t>
      </w:r>
      <w:r>
        <w:rPr>
          <w:rFonts w:ascii="Arial" w:hAnsi="Arial"/>
          <w:i/>
          <w:spacing w:val="-13"/>
          <w:sz w:val="24"/>
        </w:rPr>
        <w:t xml:space="preserve"> </w:t>
      </w:r>
      <w:r>
        <w:rPr>
          <w:rFonts w:ascii="Arial" w:hAnsi="Arial"/>
          <w:i/>
          <w:sz w:val="24"/>
        </w:rPr>
        <w:t xml:space="preserve">example when the MS has a comprehensive strategy and plan and in their reports to the </w:t>
      </w:r>
      <w:proofErr w:type="gramStart"/>
      <w:r>
        <w:rPr>
          <w:rFonts w:ascii="Arial" w:hAnsi="Arial"/>
          <w:i/>
          <w:sz w:val="24"/>
        </w:rPr>
        <w:t>UN</w:t>
      </w:r>
      <w:proofErr w:type="gramEnd"/>
      <w:r>
        <w:rPr>
          <w:rFonts w:ascii="Arial" w:hAnsi="Arial"/>
          <w:i/>
          <w:sz w:val="24"/>
        </w:rPr>
        <w:t xml:space="preserve"> they describe these points.</w:t>
      </w:r>
      <w:r>
        <w:rPr>
          <w:rFonts w:ascii="Arial MT" w:hAnsi="Arial MT"/>
          <w:sz w:val="24"/>
        </w:rPr>
        <w:t>”</w:t>
      </w:r>
    </w:p>
    <w:p w14:paraId="09F34E32" w14:textId="77777777" w:rsidR="00161C10" w:rsidRDefault="00CE2C8C">
      <w:pPr>
        <w:pStyle w:val="ListParagraph"/>
        <w:numPr>
          <w:ilvl w:val="0"/>
          <w:numId w:val="11"/>
        </w:numPr>
        <w:tabs>
          <w:tab w:val="left" w:pos="1070"/>
          <w:tab w:val="left" w:pos="1073"/>
        </w:tabs>
        <w:spacing w:before="121" w:line="276" w:lineRule="auto"/>
        <w:ind w:right="358"/>
        <w:rPr>
          <w:rFonts w:ascii="Arial" w:hAnsi="Arial"/>
          <w:i/>
          <w:sz w:val="24"/>
        </w:rPr>
      </w:pPr>
      <w:r>
        <w:rPr>
          <w:rFonts w:ascii="Arial MT" w:hAnsi="Arial MT"/>
          <w:sz w:val="24"/>
        </w:rPr>
        <w:t>Arrangements</w:t>
      </w:r>
      <w:r>
        <w:rPr>
          <w:rFonts w:ascii="Arial MT" w:hAnsi="Arial MT"/>
          <w:spacing w:val="-5"/>
          <w:sz w:val="24"/>
        </w:rPr>
        <w:t xml:space="preserve"> </w:t>
      </w:r>
      <w:r>
        <w:rPr>
          <w:rFonts w:ascii="Arial MT" w:hAnsi="Arial MT"/>
          <w:sz w:val="24"/>
        </w:rPr>
        <w:t>to</w:t>
      </w:r>
      <w:r>
        <w:rPr>
          <w:rFonts w:ascii="Arial MT" w:hAnsi="Arial MT"/>
          <w:spacing w:val="-6"/>
          <w:sz w:val="24"/>
        </w:rPr>
        <w:t xml:space="preserve"> </w:t>
      </w:r>
      <w:r>
        <w:rPr>
          <w:rFonts w:ascii="Arial MT" w:hAnsi="Arial MT"/>
          <w:sz w:val="24"/>
        </w:rPr>
        <w:t>ensure</w:t>
      </w:r>
      <w:r>
        <w:rPr>
          <w:rFonts w:ascii="Arial MT" w:hAnsi="Arial MT"/>
          <w:spacing w:val="-5"/>
          <w:sz w:val="24"/>
        </w:rPr>
        <w:t xml:space="preserve"> </w:t>
      </w:r>
      <w:r>
        <w:rPr>
          <w:rFonts w:ascii="Arial MT" w:hAnsi="Arial MT"/>
          <w:sz w:val="24"/>
        </w:rPr>
        <w:t>that</w:t>
      </w:r>
      <w:r>
        <w:rPr>
          <w:rFonts w:ascii="Arial MT" w:hAnsi="Arial MT"/>
          <w:spacing w:val="-6"/>
          <w:sz w:val="24"/>
        </w:rPr>
        <w:t xml:space="preserve"> </w:t>
      </w:r>
      <w:r>
        <w:rPr>
          <w:rFonts w:ascii="Arial MT" w:hAnsi="Arial MT"/>
          <w:sz w:val="24"/>
        </w:rPr>
        <w:t>the</w:t>
      </w:r>
      <w:r>
        <w:rPr>
          <w:rFonts w:ascii="Arial MT" w:hAnsi="Arial MT"/>
          <w:spacing w:val="-7"/>
          <w:sz w:val="24"/>
        </w:rPr>
        <w:t xml:space="preserve"> </w:t>
      </w:r>
      <w:r>
        <w:rPr>
          <w:rFonts w:ascii="Arial MT" w:hAnsi="Arial MT"/>
          <w:sz w:val="24"/>
        </w:rPr>
        <w:t>accessibility</w:t>
      </w:r>
      <w:r>
        <w:rPr>
          <w:rFonts w:ascii="Arial MT" w:hAnsi="Arial MT"/>
          <w:spacing w:val="-7"/>
          <w:sz w:val="24"/>
        </w:rPr>
        <w:t xml:space="preserve"> </w:t>
      </w:r>
      <w:r>
        <w:rPr>
          <w:rFonts w:ascii="Arial MT" w:hAnsi="Arial MT"/>
          <w:sz w:val="24"/>
        </w:rPr>
        <w:t>policy,</w:t>
      </w:r>
      <w:r>
        <w:rPr>
          <w:rFonts w:ascii="Arial MT" w:hAnsi="Arial MT"/>
          <w:spacing w:val="-5"/>
          <w:sz w:val="24"/>
        </w:rPr>
        <w:t xml:space="preserve"> </w:t>
      </w:r>
      <w:r>
        <w:rPr>
          <w:rFonts w:ascii="Arial MT" w:hAnsi="Arial MT"/>
          <w:sz w:val="24"/>
        </w:rPr>
        <w:t>legislation</w:t>
      </w:r>
      <w:r>
        <w:rPr>
          <w:rFonts w:ascii="Arial MT" w:hAnsi="Arial MT"/>
          <w:spacing w:val="-7"/>
          <w:sz w:val="24"/>
        </w:rPr>
        <w:t xml:space="preserve"> </w:t>
      </w:r>
      <w:r>
        <w:rPr>
          <w:rFonts w:ascii="Arial MT" w:hAnsi="Arial MT"/>
          <w:sz w:val="24"/>
        </w:rPr>
        <w:t>and</w:t>
      </w:r>
      <w:r>
        <w:rPr>
          <w:rFonts w:ascii="Arial MT" w:hAnsi="Arial MT"/>
          <w:spacing w:val="-9"/>
          <w:sz w:val="24"/>
        </w:rPr>
        <w:t xml:space="preserve"> </w:t>
      </w:r>
      <w:r>
        <w:rPr>
          <w:rFonts w:ascii="Arial MT" w:hAnsi="Arial MT"/>
          <w:sz w:val="24"/>
        </w:rPr>
        <w:t>standards</w:t>
      </w:r>
      <w:r>
        <w:rPr>
          <w:rFonts w:ascii="Arial MT" w:hAnsi="Arial MT"/>
          <w:spacing w:val="-5"/>
          <w:sz w:val="24"/>
        </w:rPr>
        <w:t xml:space="preserve"> </w:t>
      </w:r>
      <w:r>
        <w:rPr>
          <w:rFonts w:ascii="Arial MT" w:hAnsi="Arial MT"/>
          <w:sz w:val="24"/>
        </w:rPr>
        <w:t xml:space="preserve">are properly reflected in the preparation and implementation of the </w:t>
      </w:r>
      <w:proofErr w:type="spellStart"/>
      <w:r>
        <w:rPr>
          <w:rFonts w:ascii="Arial MT" w:hAnsi="Arial MT"/>
          <w:sz w:val="24"/>
        </w:rPr>
        <w:t>programmes</w:t>
      </w:r>
      <w:proofErr w:type="spellEnd"/>
      <w:r>
        <w:rPr>
          <w:rFonts w:ascii="Arial MT" w:hAnsi="Arial MT"/>
          <w:sz w:val="24"/>
        </w:rPr>
        <w:t>. Among</w:t>
      </w:r>
      <w:r>
        <w:rPr>
          <w:rFonts w:ascii="Arial MT" w:hAnsi="Arial MT"/>
          <w:spacing w:val="67"/>
          <w:sz w:val="24"/>
        </w:rPr>
        <w:t xml:space="preserve"> </w:t>
      </w:r>
      <w:r>
        <w:rPr>
          <w:rFonts w:ascii="Arial MT" w:hAnsi="Arial MT"/>
          <w:sz w:val="24"/>
        </w:rPr>
        <w:t>other,</w:t>
      </w:r>
      <w:r>
        <w:rPr>
          <w:rFonts w:ascii="Arial MT" w:hAnsi="Arial MT"/>
          <w:spacing w:val="65"/>
          <w:sz w:val="24"/>
        </w:rPr>
        <w:t xml:space="preserve"> </w:t>
      </w:r>
      <w:r>
        <w:rPr>
          <w:rFonts w:ascii="Arial MT" w:hAnsi="Arial MT"/>
          <w:sz w:val="24"/>
        </w:rPr>
        <w:t>the</w:t>
      </w:r>
      <w:r>
        <w:rPr>
          <w:rFonts w:ascii="Arial MT" w:hAnsi="Arial MT"/>
          <w:spacing w:val="67"/>
          <w:sz w:val="24"/>
        </w:rPr>
        <w:t xml:space="preserve"> </w:t>
      </w:r>
      <w:r>
        <w:rPr>
          <w:rFonts w:ascii="Arial MT" w:hAnsi="Arial MT"/>
          <w:sz w:val="24"/>
        </w:rPr>
        <w:t>MS</w:t>
      </w:r>
      <w:r>
        <w:rPr>
          <w:rFonts w:ascii="Arial MT" w:hAnsi="Arial MT"/>
          <w:spacing w:val="67"/>
          <w:sz w:val="24"/>
        </w:rPr>
        <w:t xml:space="preserve"> </w:t>
      </w:r>
      <w:r>
        <w:rPr>
          <w:rFonts w:ascii="Arial MT" w:hAnsi="Arial MT"/>
          <w:sz w:val="24"/>
        </w:rPr>
        <w:t>is</w:t>
      </w:r>
      <w:r>
        <w:rPr>
          <w:rFonts w:ascii="Arial MT" w:hAnsi="Arial MT"/>
          <w:spacing w:val="66"/>
          <w:sz w:val="24"/>
        </w:rPr>
        <w:t xml:space="preserve"> </w:t>
      </w:r>
      <w:r>
        <w:rPr>
          <w:rFonts w:ascii="Arial MT" w:hAnsi="Arial MT"/>
          <w:sz w:val="24"/>
        </w:rPr>
        <w:t>expected</w:t>
      </w:r>
      <w:r>
        <w:rPr>
          <w:rFonts w:ascii="Arial MT" w:hAnsi="Arial MT"/>
          <w:spacing w:val="67"/>
          <w:sz w:val="24"/>
        </w:rPr>
        <w:t xml:space="preserve"> </w:t>
      </w:r>
      <w:r>
        <w:rPr>
          <w:rFonts w:ascii="Arial MT" w:hAnsi="Arial MT"/>
          <w:sz w:val="24"/>
        </w:rPr>
        <w:t>to</w:t>
      </w:r>
      <w:r>
        <w:rPr>
          <w:rFonts w:ascii="Arial MT" w:hAnsi="Arial MT"/>
          <w:spacing w:val="67"/>
          <w:sz w:val="24"/>
        </w:rPr>
        <w:t xml:space="preserve"> </w:t>
      </w:r>
      <w:r>
        <w:rPr>
          <w:rFonts w:ascii="Arial MT" w:hAnsi="Arial MT"/>
          <w:sz w:val="24"/>
        </w:rPr>
        <w:t>explain</w:t>
      </w:r>
      <w:r>
        <w:rPr>
          <w:rFonts w:ascii="Arial MT" w:hAnsi="Arial MT"/>
          <w:spacing w:val="67"/>
          <w:sz w:val="24"/>
        </w:rPr>
        <w:t xml:space="preserve"> </w:t>
      </w:r>
      <w:r>
        <w:rPr>
          <w:rFonts w:ascii="Arial MT" w:hAnsi="Arial MT"/>
          <w:sz w:val="24"/>
        </w:rPr>
        <w:t>“</w:t>
      </w:r>
      <w:r>
        <w:rPr>
          <w:rFonts w:ascii="Arial" w:hAnsi="Arial"/>
          <w:i/>
          <w:sz w:val="24"/>
        </w:rPr>
        <w:t>how</w:t>
      </w:r>
      <w:r>
        <w:rPr>
          <w:rFonts w:ascii="Arial" w:hAnsi="Arial"/>
          <w:i/>
          <w:spacing w:val="66"/>
          <w:sz w:val="24"/>
        </w:rPr>
        <w:t xml:space="preserve"> </w:t>
      </w:r>
      <w:r>
        <w:rPr>
          <w:rFonts w:ascii="Arial" w:hAnsi="Arial"/>
          <w:i/>
          <w:sz w:val="24"/>
        </w:rPr>
        <w:t>the</w:t>
      </w:r>
      <w:r>
        <w:rPr>
          <w:rFonts w:ascii="Arial" w:hAnsi="Arial"/>
          <w:i/>
          <w:spacing w:val="67"/>
          <w:sz w:val="24"/>
        </w:rPr>
        <w:t xml:space="preserve"> </w:t>
      </w:r>
      <w:r>
        <w:rPr>
          <w:rFonts w:ascii="Arial" w:hAnsi="Arial"/>
          <w:i/>
          <w:sz w:val="24"/>
        </w:rPr>
        <w:t>compliance</w:t>
      </w:r>
      <w:r>
        <w:rPr>
          <w:rFonts w:ascii="Arial" w:hAnsi="Arial"/>
          <w:i/>
          <w:spacing w:val="67"/>
          <w:sz w:val="24"/>
        </w:rPr>
        <w:t xml:space="preserve"> </w:t>
      </w:r>
      <w:r>
        <w:rPr>
          <w:rFonts w:ascii="Arial" w:hAnsi="Arial"/>
          <w:i/>
          <w:sz w:val="24"/>
        </w:rPr>
        <w:t>with</w:t>
      </w:r>
      <w:r>
        <w:rPr>
          <w:rFonts w:ascii="Arial" w:hAnsi="Arial"/>
          <w:i/>
          <w:spacing w:val="68"/>
          <w:sz w:val="24"/>
        </w:rPr>
        <w:t xml:space="preserve"> </w:t>
      </w:r>
      <w:r>
        <w:rPr>
          <w:rFonts w:ascii="Arial" w:hAnsi="Arial"/>
          <w:i/>
          <w:sz w:val="24"/>
        </w:rPr>
        <w:t>the</w:t>
      </w:r>
    </w:p>
    <w:p w14:paraId="560B86F7" w14:textId="77777777" w:rsidR="00161C10" w:rsidRDefault="00CE2C8C">
      <w:pPr>
        <w:pStyle w:val="BodyText"/>
        <w:spacing w:before="10"/>
        <w:rPr>
          <w:rFonts w:ascii="Arial"/>
          <w:i/>
          <w:sz w:val="11"/>
        </w:rPr>
      </w:pPr>
      <w:r>
        <w:rPr>
          <w:rFonts w:ascii="Arial"/>
          <w:i/>
          <w:noProof/>
          <w:sz w:val="11"/>
        </w:rPr>
        <mc:AlternateContent>
          <mc:Choice Requires="wps">
            <w:drawing>
              <wp:anchor distT="0" distB="0" distL="0" distR="0" simplePos="0" relativeHeight="487589888" behindDoc="1" locked="0" layoutInCell="1" allowOverlap="1" wp14:anchorId="07A22264" wp14:editId="720E18C9">
                <wp:simplePos x="0" y="0"/>
                <wp:positionH relativeFrom="page">
                  <wp:posOffset>914704</wp:posOffset>
                </wp:positionH>
                <wp:positionV relativeFrom="paragraph">
                  <wp:posOffset>102164</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366A87" id="Graphic 11" o:spid="_x0000_s1026" style="position:absolute;margin-left:1in;margin-top:8.05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" path="m1829054,l,,,7620r1829054,l1829054,xe" fillcolor="black" stroked="f">
                <v:path arrowok="t"/>
                <w10:wrap type="topAndBottom" anchorx="page"/>
              </v:shape>
            </w:pict>
          </mc:Fallback>
        </mc:AlternateContent>
      </w:r>
    </w:p>
    <w:p w14:paraId="1345916B" w14:textId="77777777" w:rsidR="00161C10" w:rsidRDefault="00161C10">
      <w:pPr>
        <w:pStyle w:val="BodyText"/>
        <w:spacing w:before="100"/>
        <w:rPr>
          <w:rFonts w:ascii="Arial"/>
          <w:i/>
          <w:sz w:val="20"/>
        </w:rPr>
      </w:pPr>
    </w:p>
    <w:p w14:paraId="6EE8679F" w14:textId="77777777" w:rsidR="00161C10" w:rsidRDefault="00CE2C8C">
      <w:pPr>
        <w:spacing w:before="1" w:line="276" w:lineRule="auto"/>
        <w:ind w:left="360" w:right="362"/>
        <w:jc w:val="both"/>
        <w:rPr>
          <w:sz w:val="20"/>
        </w:rPr>
      </w:pPr>
      <w:bookmarkStart w:id="2" w:name="_bookmark2"/>
      <w:bookmarkEnd w:id="2"/>
      <w:r>
        <w:rPr>
          <w:position w:val="6"/>
          <w:sz w:val="13"/>
        </w:rPr>
        <w:t>3</w:t>
      </w:r>
      <w:r>
        <w:rPr>
          <w:spacing w:val="32"/>
          <w:position w:val="6"/>
          <w:sz w:val="13"/>
        </w:rPr>
        <w:t xml:space="preserve"> </w:t>
      </w:r>
      <w:r>
        <w:rPr>
          <w:sz w:val="20"/>
        </w:rPr>
        <w:t>It is important to mention that while ENIL also requested information regarding the horizontal enabling condition on the effective application and implementation of the EU Charter of Fundamental Rights, we were told that this was limited to the rule of law. This would mean that the implementation of Article 26 of the Charter (Integration of persons with disabilities), is not a condition for the use of EU funding.</w:t>
      </w:r>
    </w:p>
    <w:p w14:paraId="64DC2FFA" w14:textId="77777777" w:rsidR="00161C10" w:rsidRDefault="00161C10">
      <w:pPr>
        <w:spacing w:line="276" w:lineRule="auto"/>
        <w:jc w:val="both"/>
        <w:rPr>
          <w:sz w:val="20"/>
        </w:rPr>
        <w:sectPr w:rsidR="00161C10">
          <w:pgSz w:w="12240" w:h="15840"/>
          <w:pgMar w:top="1440" w:right="1080" w:bottom="1540" w:left="1080" w:header="0" w:footer="1274" w:gutter="0"/>
          <w:cols w:space="720"/>
        </w:sectPr>
      </w:pPr>
    </w:p>
    <w:p w14:paraId="6E297557" w14:textId="77777777" w:rsidR="00161C10" w:rsidRDefault="00CE2C8C">
      <w:pPr>
        <w:spacing w:before="81" w:line="276" w:lineRule="auto"/>
        <w:ind w:left="1073" w:right="364"/>
        <w:jc w:val="both"/>
        <w:rPr>
          <w:sz w:val="24"/>
        </w:rPr>
      </w:pPr>
      <w:r>
        <w:rPr>
          <w:rFonts w:ascii="Arial" w:hAnsi="Arial"/>
          <w:i/>
          <w:sz w:val="24"/>
        </w:rPr>
        <w:lastRenderedPageBreak/>
        <w:t>UNCRPD, anti-discrimination law on the ground of disability and accessibility will be checked at all stages of programming…</w:t>
      </w:r>
      <w:r>
        <w:rPr>
          <w:sz w:val="24"/>
        </w:rPr>
        <w:t>”</w:t>
      </w:r>
    </w:p>
    <w:p w14:paraId="47877D8C" w14:textId="77777777" w:rsidR="00161C10" w:rsidRDefault="00CE2C8C">
      <w:pPr>
        <w:pStyle w:val="ListParagraph"/>
        <w:numPr>
          <w:ilvl w:val="0"/>
          <w:numId w:val="11"/>
        </w:numPr>
        <w:tabs>
          <w:tab w:val="left" w:pos="1078"/>
          <w:tab w:val="left" w:pos="1080"/>
        </w:tabs>
        <w:spacing w:before="118" w:line="276" w:lineRule="auto"/>
        <w:ind w:left="1080" w:right="352" w:hanging="360"/>
        <w:rPr>
          <w:rFonts w:ascii="Arial MT" w:hAnsi="Arial MT"/>
          <w:sz w:val="24"/>
        </w:rPr>
      </w:pPr>
      <w:r>
        <w:rPr>
          <w:rFonts w:ascii="Arial MT" w:hAnsi="Arial MT"/>
          <w:sz w:val="24"/>
        </w:rPr>
        <w:t>Reporting arrangements for the monitoring committee regarding cases of non- compliance of operations supported by the Funds with the UNCRPD and complaints regarding the UNCRPD submitted in accordance with the arrangements made pursuant to Article 63(</w:t>
      </w:r>
      <w:proofErr w:type="gramStart"/>
      <w:r>
        <w:rPr>
          <w:rFonts w:ascii="Arial MT" w:hAnsi="Arial MT"/>
          <w:sz w:val="24"/>
        </w:rPr>
        <w:t>6)CPR</w:t>
      </w:r>
      <w:proofErr w:type="gramEnd"/>
      <w:r>
        <w:rPr>
          <w:rFonts w:ascii="Arial MT" w:hAnsi="Arial MT"/>
          <w:sz w:val="24"/>
        </w:rPr>
        <w:t>. Among other, “</w:t>
      </w:r>
      <w:r>
        <w:rPr>
          <w:rFonts w:ascii="Arial" w:hAnsi="Arial"/>
          <w:i/>
          <w:sz w:val="24"/>
        </w:rPr>
        <w:t xml:space="preserve">MS should explain how, at which frequency, etc. they will report on both cases of non- compliance of operations supported by the Funds with the UN Convention and accessibility complaints. Concluding observations of the UN Committee on the rights of persons with disabilities should be </w:t>
      </w:r>
      <w:proofErr w:type="gramStart"/>
      <w:r>
        <w:rPr>
          <w:rFonts w:ascii="Arial" w:hAnsi="Arial"/>
          <w:i/>
          <w:sz w:val="24"/>
        </w:rPr>
        <w:t>taken into account</w:t>
      </w:r>
      <w:proofErr w:type="gramEnd"/>
      <w:r>
        <w:rPr>
          <w:rFonts w:ascii="Arial MT" w:hAnsi="Arial MT"/>
          <w:sz w:val="24"/>
        </w:rPr>
        <w:t>.”</w:t>
      </w:r>
    </w:p>
    <w:p w14:paraId="33E82FEA" w14:textId="77777777" w:rsidR="00161C10" w:rsidRDefault="00CE2C8C">
      <w:pPr>
        <w:pStyle w:val="BodyText"/>
        <w:spacing w:before="121" w:line="276" w:lineRule="auto"/>
        <w:ind w:left="360" w:right="354"/>
        <w:jc w:val="both"/>
      </w:pPr>
      <w:r>
        <w:t>Having</w:t>
      </w:r>
      <w:r>
        <w:rPr>
          <w:spacing w:val="-14"/>
        </w:rPr>
        <w:t xml:space="preserve"> </w:t>
      </w:r>
      <w:r>
        <w:t>reviewed</w:t>
      </w:r>
      <w:r>
        <w:rPr>
          <w:spacing w:val="-14"/>
        </w:rPr>
        <w:t xml:space="preserve"> </w:t>
      </w:r>
      <w:r>
        <w:t>the</w:t>
      </w:r>
      <w:r>
        <w:rPr>
          <w:spacing w:val="-14"/>
        </w:rPr>
        <w:t xml:space="preserve"> </w:t>
      </w:r>
      <w:r>
        <w:t>documents</w:t>
      </w:r>
      <w:r>
        <w:rPr>
          <w:spacing w:val="-14"/>
        </w:rPr>
        <w:t xml:space="preserve"> </w:t>
      </w:r>
      <w:r>
        <w:t>received</w:t>
      </w:r>
      <w:r>
        <w:rPr>
          <w:spacing w:val="-14"/>
        </w:rPr>
        <w:t xml:space="preserve"> </w:t>
      </w:r>
      <w:r>
        <w:t>in</w:t>
      </w:r>
      <w:r>
        <w:rPr>
          <w:spacing w:val="-15"/>
        </w:rPr>
        <w:t xml:space="preserve"> </w:t>
      </w:r>
      <w:r>
        <w:t>relation</w:t>
      </w:r>
      <w:r>
        <w:rPr>
          <w:spacing w:val="-14"/>
        </w:rPr>
        <w:t xml:space="preserve"> </w:t>
      </w:r>
      <w:r>
        <w:t>to</w:t>
      </w:r>
      <w:r>
        <w:rPr>
          <w:spacing w:val="-14"/>
        </w:rPr>
        <w:t xml:space="preserve"> </w:t>
      </w:r>
      <w:r>
        <w:t>Latvia,</w:t>
      </w:r>
      <w:r>
        <w:rPr>
          <w:spacing w:val="-13"/>
        </w:rPr>
        <w:t xml:space="preserve"> </w:t>
      </w:r>
      <w:proofErr w:type="gramStart"/>
      <w:r>
        <w:t>it</w:t>
      </w:r>
      <w:r>
        <w:rPr>
          <w:spacing w:val="-14"/>
        </w:rPr>
        <w:t xml:space="preserve"> </w:t>
      </w:r>
      <w:r>
        <w:t>is</w:t>
      </w:r>
      <w:r>
        <w:rPr>
          <w:spacing w:val="-14"/>
        </w:rPr>
        <w:t xml:space="preserve"> </w:t>
      </w:r>
      <w:r>
        <w:t>clear</w:t>
      </w:r>
      <w:r>
        <w:rPr>
          <w:spacing w:val="-15"/>
        </w:rPr>
        <w:t xml:space="preserve"> </w:t>
      </w:r>
      <w:r>
        <w:t>that</w:t>
      </w:r>
      <w:r>
        <w:rPr>
          <w:spacing w:val="-13"/>
        </w:rPr>
        <w:t xml:space="preserve"> </w:t>
      </w:r>
      <w:r>
        <w:t>the</w:t>
      </w:r>
      <w:proofErr w:type="gramEnd"/>
      <w:r>
        <w:rPr>
          <w:spacing w:val="-13"/>
        </w:rPr>
        <w:t xml:space="preserve"> </w:t>
      </w:r>
      <w:r>
        <w:t>only</w:t>
      </w:r>
      <w:r>
        <w:rPr>
          <w:spacing w:val="-14"/>
        </w:rPr>
        <w:t xml:space="preserve"> </w:t>
      </w:r>
      <w:r>
        <w:t>party consulted by the Commission to establish whether the enabling conditions are being fulfilled</w:t>
      </w:r>
      <w:r>
        <w:rPr>
          <w:spacing w:val="-9"/>
        </w:rPr>
        <w:t xml:space="preserve"> </w:t>
      </w:r>
      <w:r>
        <w:t>is</w:t>
      </w:r>
      <w:r>
        <w:rPr>
          <w:spacing w:val="-11"/>
        </w:rPr>
        <w:t xml:space="preserve"> </w:t>
      </w:r>
      <w:r>
        <w:t>the</w:t>
      </w:r>
      <w:r>
        <w:rPr>
          <w:spacing w:val="-9"/>
        </w:rPr>
        <w:t xml:space="preserve"> </w:t>
      </w:r>
      <w:r>
        <w:t>Managing</w:t>
      </w:r>
      <w:r>
        <w:rPr>
          <w:spacing w:val="-9"/>
        </w:rPr>
        <w:t xml:space="preserve"> </w:t>
      </w:r>
      <w:r>
        <w:t>Authority</w:t>
      </w:r>
      <w:r>
        <w:rPr>
          <w:spacing w:val="-10"/>
        </w:rPr>
        <w:t xml:space="preserve"> </w:t>
      </w:r>
      <w:r>
        <w:t>(i.e.</w:t>
      </w:r>
      <w:r>
        <w:rPr>
          <w:spacing w:val="-10"/>
        </w:rPr>
        <w:t xml:space="preserve"> </w:t>
      </w:r>
      <w:r>
        <w:t>the</w:t>
      </w:r>
      <w:r>
        <w:rPr>
          <w:spacing w:val="-9"/>
        </w:rPr>
        <w:t xml:space="preserve"> </w:t>
      </w:r>
      <w:r>
        <w:t>relevant</w:t>
      </w:r>
      <w:r>
        <w:rPr>
          <w:spacing w:val="-10"/>
        </w:rPr>
        <w:t xml:space="preserve"> </w:t>
      </w:r>
      <w:r>
        <w:t>Ministry).</w:t>
      </w:r>
      <w:r>
        <w:rPr>
          <w:spacing w:val="-10"/>
        </w:rPr>
        <w:t xml:space="preserve"> </w:t>
      </w:r>
      <w:r>
        <w:t>Furthermore,</w:t>
      </w:r>
      <w:r>
        <w:rPr>
          <w:spacing w:val="-3"/>
        </w:rPr>
        <w:t xml:space="preserve"> </w:t>
      </w:r>
      <w:r>
        <w:t>it</w:t>
      </w:r>
      <w:r>
        <w:rPr>
          <w:spacing w:val="-10"/>
        </w:rPr>
        <w:t xml:space="preserve"> </w:t>
      </w:r>
      <w:r>
        <w:t>is</w:t>
      </w:r>
      <w:r>
        <w:rPr>
          <w:spacing w:val="-11"/>
        </w:rPr>
        <w:t xml:space="preserve"> </w:t>
      </w:r>
      <w:r>
        <w:t>enough</w:t>
      </w:r>
      <w:r>
        <w:rPr>
          <w:spacing w:val="-9"/>
        </w:rPr>
        <w:t xml:space="preserve"> </w:t>
      </w:r>
      <w:r>
        <w:t>for the</w:t>
      </w:r>
      <w:r>
        <w:rPr>
          <w:spacing w:val="-17"/>
        </w:rPr>
        <w:t xml:space="preserve"> </w:t>
      </w:r>
      <w:r>
        <w:t>MS</w:t>
      </w:r>
      <w:r>
        <w:rPr>
          <w:spacing w:val="-17"/>
        </w:rPr>
        <w:t xml:space="preserve"> </w:t>
      </w:r>
      <w:r>
        <w:t>to</w:t>
      </w:r>
      <w:r>
        <w:rPr>
          <w:spacing w:val="-16"/>
        </w:rPr>
        <w:t xml:space="preserve"> </w:t>
      </w:r>
      <w:r>
        <w:t>have</w:t>
      </w:r>
      <w:r>
        <w:rPr>
          <w:spacing w:val="-17"/>
        </w:rPr>
        <w:t xml:space="preserve"> </w:t>
      </w:r>
      <w:r>
        <w:t>a</w:t>
      </w:r>
      <w:r>
        <w:rPr>
          <w:spacing w:val="-17"/>
        </w:rPr>
        <w:t xml:space="preserve"> </w:t>
      </w:r>
      <w:r>
        <w:t>strategy</w:t>
      </w:r>
      <w:r>
        <w:rPr>
          <w:spacing w:val="-17"/>
        </w:rPr>
        <w:t xml:space="preserve"> </w:t>
      </w:r>
      <w:r>
        <w:t>in</w:t>
      </w:r>
      <w:r>
        <w:rPr>
          <w:spacing w:val="-16"/>
        </w:rPr>
        <w:t xml:space="preserve"> </w:t>
      </w:r>
      <w:r>
        <w:t>place</w:t>
      </w:r>
      <w:r>
        <w:rPr>
          <w:spacing w:val="-17"/>
        </w:rPr>
        <w:t xml:space="preserve"> </w:t>
      </w:r>
      <w:r>
        <w:t>to</w:t>
      </w:r>
      <w:r>
        <w:rPr>
          <w:spacing w:val="-17"/>
        </w:rPr>
        <w:t xml:space="preserve"> </w:t>
      </w:r>
      <w:r>
        <w:t>fulfill</w:t>
      </w:r>
      <w:r>
        <w:rPr>
          <w:spacing w:val="-16"/>
        </w:rPr>
        <w:t xml:space="preserve"> </w:t>
      </w:r>
      <w:r>
        <w:t>the</w:t>
      </w:r>
      <w:r>
        <w:rPr>
          <w:spacing w:val="-17"/>
        </w:rPr>
        <w:t xml:space="preserve"> </w:t>
      </w:r>
      <w:r>
        <w:t>enabling</w:t>
      </w:r>
      <w:r>
        <w:rPr>
          <w:spacing w:val="-17"/>
        </w:rPr>
        <w:t xml:space="preserve"> </w:t>
      </w:r>
      <w:r>
        <w:t>condition</w:t>
      </w:r>
      <w:r>
        <w:rPr>
          <w:spacing w:val="-14"/>
        </w:rPr>
        <w:t xml:space="preserve"> </w:t>
      </w:r>
      <w:r>
        <w:t>-</w:t>
      </w:r>
      <w:r>
        <w:rPr>
          <w:spacing w:val="-16"/>
        </w:rPr>
        <w:t xml:space="preserve"> </w:t>
      </w:r>
      <w:r>
        <w:t>regardless</w:t>
      </w:r>
      <w:r>
        <w:rPr>
          <w:spacing w:val="-16"/>
        </w:rPr>
        <w:t xml:space="preserve"> </w:t>
      </w:r>
      <w:r>
        <w:t>of</w:t>
      </w:r>
      <w:r>
        <w:rPr>
          <w:spacing w:val="-17"/>
        </w:rPr>
        <w:t xml:space="preserve"> </w:t>
      </w:r>
      <w:r>
        <w:t>the</w:t>
      </w:r>
      <w:r>
        <w:rPr>
          <w:spacing w:val="-16"/>
        </w:rPr>
        <w:t xml:space="preserve"> </w:t>
      </w:r>
      <w:r>
        <w:t>quality of</w:t>
      </w:r>
      <w:r>
        <w:rPr>
          <w:spacing w:val="-5"/>
        </w:rPr>
        <w:t xml:space="preserve"> </w:t>
      </w:r>
      <w:r>
        <w:t>the</w:t>
      </w:r>
      <w:r>
        <w:rPr>
          <w:spacing w:val="-5"/>
        </w:rPr>
        <w:t xml:space="preserve"> </w:t>
      </w:r>
      <w:r>
        <w:t>strategy,</w:t>
      </w:r>
      <w:r>
        <w:rPr>
          <w:spacing w:val="-5"/>
        </w:rPr>
        <w:t xml:space="preserve"> </w:t>
      </w:r>
      <w:r>
        <w:t>the</w:t>
      </w:r>
      <w:r>
        <w:rPr>
          <w:spacing w:val="-7"/>
        </w:rPr>
        <w:t xml:space="preserve"> </w:t>
      </w:r>
      <w:r>
        <w:t>level</w:t>
      </w:r>
      <w:r>
        <w:rPr>
          <w:spacing w:val="-6"/>
        </w:rPr>
        <w:t xml:space="preserve"> </w:t>
      </w:r>
      <w:r>
        <w:t>of</w:t>
      </w:r>
      <w:r>
        <w:rPr>
          <w:spacing w:val="-7"/>
        </w:rPr>
        <w:t xml:space="preserve"> </w:t>
      </w:r>
      <w:r>
        <w:t>compliance</w:t>
      </w:r>
      <w:r>
        <w:rPr>
          <w:spacing w:val="-5"/>
        </w:rPr>
        <w:t xml:space="preserve"> </w:t>
      </w:r>
      <w:r>
        <w:t>with</w:t>
      </w:r>
      <w:r>
        <w:rPr>
          <w:spacing w:val="-6"/>
        </w:rPr>
        <w:t xml:space="preserve"> </w:t>
      </w:r>
      <w:r>
        <w:t>the</w:t>
      </w:r>
      <w:r>
        <w:rPr>
          <w:spacing w:val="-5"/>
        </w:rPr>
        <w:t xml:space="preserve"> </w:t>
      </w:r>
      <w:r>
        <w:t>UNCRPD,</w:t>
      </w:r>
      <w:r>
        <w:rPr>
          <w:spacing w:val="-5"/>
        </w:rPr>
        <w:t xml:space="preserve"> </w:t>
      </w:r>
      <w:r>
        <w:t>or</w:t>
      </w:r>
      <w:r>
        <w:rPr>
          <w:spacing w:val="-6"/>
        </w:rPr>
        <w:t xml:space="preserve"> </w:t>
      </w:r>
      <w:r>
        <w:t>whether</w:t>
      </w:r>
      <w:r>
        <w:rPr>
          <w:spacing w:val="-6"/>
        </w:rPr>
        <w:t xml:space="preserve"> </w:t>
      </w:r>
      <w:r>
        <w:t>and</w:t>
      </w:r>
      <w:r>
        <w:rPr>
          <w:spacing w:val="-5"/>
        </w:rPr>
        <w:t xml:space="preserve"> </w:t>
      </w:r>
      <w:r>
        <w:t>how</w:t>
      </w:r>
      <w:r>
        <w:rPr>
          <w:spacing w:val="-6"/>
        </w:rPr>
        <w:t xml:space="preserve"> </w:t>
      </w:r>
      <w:r>
        <w:t>it</w:t>
      </w:r>
      <w:r>
        <w:rPr>
          <w:spacing w:val="-5"/>
        </w:rPr>
        <w:t xml:space="preserve"> </w:t>
      </w:r>
      <w:r>
        <w:t>is</w:t>
      </w:r>
      <w:r>
        <w:rPr>
          <w:spacing w:val="-8"/>
        </w:rPr>
        <w:t xml:space="preserve"> </w:t>
      </w:r>
      <w:r>
        <w:t xml:space="preserve">being implemented. We have not seen any evidence of how any potential cases of non- compliance with the UNCRPD are being reviewed or what the role of </w:t>
      </w:r>
      <w:proofErr w:type="spellStart"/>
      <w:r>
        <w:t>organisations</w:t>
      </w:r>
      <w:proofErr w:type="spellEnd"/>
      <w:r>
        <w:t xml:space="preserve"> of disabled people or independent human rights bodies is in this process.</w:t>
      </w:r>
    </w:p>
    <w:p w14:paraId="6D82E57E" w14:textId="77777777" w:rsidR="00161C10" w:rsidRDefault="00CE2C8C">
      <w:pPr>
        <w:pStyle w:val="BodyText"/>
        <w:spacing w:before="121" w:line="276" w:lineRule="auto"/>
        <w:ind w:left="360" w:right="355"/>
        <w:jc w:val="both"/>
      </w:pPr>
      <w:r>
        <w:t>Considering the evidence of continued investments into institutions for disabled people and the lack of accessibility when it comes to projects funded by the EU (</w:t>
      </w:r>
      <w:r>
        <w:rPr>
          <w:rFonts w:ascii="Arial"/>
          <w:i/>
        </w:rPr>
        <w:t>see section 3.2.4.</w:t>
      </w:r>
      <w:r>
        <w:t>), and the fact that all</w:t>
      </w:r>
      <w:r>
        <w:rPr>
          <w:spacing w:val="-1"/>
        </w:rPr>
        <w:t xml:space="preserve"> </w:t>
      </w:r>
      <w:r>
        <w:t>MS are considered as having fulfilled the horizontal enabling condition in relation to the UNCRPD for 2021 - 2027, it is clear that while the intention behind the enabling conditions is positive, they do not work in practice.</w:t>
      </w:r>
    </w:p>
    <w:p w14:paraId="51AB0989" w14:textId="77777777" w:rsidR="00161C10" w:rsidRDefault="00CE2C8C">
      <w:pPr>
        <w:pStyle w:val="BodyText"/>
        <w:spacing w:before="119" w:line="276" w:lineRule="auto"/>
        <w:ind w:left="360" w:right="355"/>
        <w:jc w:val="both"/>
      </w:pPr>
      <w:r>
        <w:t>In relation to enabling conditions, it is important to note that funds such as the Recovery and Resilience Facility have no similar conditionalities attached. This has enabled significant spending on institutions for disabled people, as will be discussed later in the document (</w:t>
      </w:r>
      <w:r>
        <w:rPr>
          <w:rFonts w:ascii="Arial"/>
          <w:i/>
        </w:rPr>
        <w:t>see section 3.2.4.</w:t>
      </w:r>
      <w:r>
        <w:t>).</w:t>
      </w:r>
    </w:p>
    <w:p w14:paraId="2999A2DD" w14:textId="77777777" w:rsidR="00161C10" w:rsidRDefault="00CE2C8C">
      <w:pPr>
        <w:spacing w:before="121"/>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0609C6D0" w14:textId="77777777" w:rsidR="00161C10" w:rsidRDefault="00CE2C8C">
      <w:pPr>
        <w:pStyle w:val="BodyText"/>
        <w:spacing w:before="3"/>
        <w:rPr>
          <w:rFonts w:ascii="Arial"/>
          <w:b/>
          <w:i/>
          <w:sz w:val="12"/>
        </w:rPr>
      </w:pPr>
      <w:r>
        <w:rPr>
          <w:rFonts w:ascii="Arial"/>
          <w:b/>
          <w:i/>
          <w:noProof/>
          <w:sz w:val="12"/>
        </w:rPr>
        <mc:AlternateContent>
          <mc:Choice Requires="wps">
            <w:drawing>
              <wp:anchor distT="0" distB="0" distL="0" distR="0" simplePos="0" relativeHeight="487590400" behindDoc="1" locked="0" layoutInCell="1" allowOverlap="1" wp14:anchorId="21D9DBA5" wp14:editId="3DCC0FE6">
                <wp:simplePos x="0" y="0"/>
                <wp:positionH relativeFrom="page">
                  <wp:posOffset>843076</wp:posOffset>
                </wp:positionH>
                <wp:positionV relativeFrom="paragraph">
                  <wp:posOffset>107942</wp:posOffset>
                </wp:positionV>
                <wp:extent cx="6088380" cy="123761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1237615"/>
                        </a:xfrm>
                        <a:prstGeom prst="rect">
                          <a:avLst/>
                        </a:prstGeom>
                        <a:ln w="6095">
                          <a:solidFill>
                            <a:srgbClr val="000000"/>
                          </a:solidFill>
                          <a:prstDash val="solid"/>
                        </a:ln>
                      </wps:spPr>
                      <wps:txbx>
                        <w:txbxContent>
                          <w:p w14:paraId="2CBF4A17" w14:textId="77777777" w:rsidR="00161C10" w:rsidRDefault="00CE2C8C">
                            <w:pPr>
                              <w:spacing w:before="19" w:line="276" w:lineRule="auto"/>
                              <w:ind w:left="108" w:right="109"/>
                              <w:jc w:val="both"/>
                              <w:rPr>
                                <w:rFonts w:ascii="Arial" w:hAnsi="Arial"/>
                                <w:b/>
                                <w:sz w:val="24"/>
                              </w:rPr>
                            </w:pPr>
                            <w:r>
                              <w:rPr>
                                <w:rFonts w:ascii="Arial" w:hAnsi="Arial"/>
                                <w:b/>
                                <w:sz w:val="24"/>
                              </w:rPr>
                              <w:t>The</w:t>
                            </w:r>
                            <w:r>
                              <w:rPr>
                                <w:rFonts w:ascii="Arial" w:hAnsi="Arial"/>
                                <w:b/>
                                <w:spacing w:val="-8"/>
                                <w:sz w:val="24"/>
                              </w:rPr>
                              <w:t xml:space="preserve"> </w:t>
                            </w:r>
                            <w:r>
                              <w:rPr>
                                <w:rFonts w:ascii="Arial" w:hAnsi="Arial"/>
                                <w:b/>
                                <w:sz w:val="24"/>
                              </w:rPr>
                              <w:t>Committee</w:t>
                            </w:r>
                            <w:r>
                              <w:rPr>
                                <w:rFonts w:ascii="Arial" w:hAnsi="Arial"/>
                                <w:b/>
                                <w:spacing w:val="-8"/>
                                <w:sz w:val="24"/>
                              </w:rPr>
                              <w:t xml:space="preserve"> </w:t>
                            </w:r>
                            <w:r>
                              <w:rPr>
                                <w:rFonts w:ascii="Arial" w:hAnsi="Arial"/>
                                <w:b/>
                                <w:sz w:val="24"/>
                              </w:rPr>
                              <w:t>recommends</w:t>
                            </w:r>
                            <w:r>
                              <w:rPr>
                                <w:rFonts w:ascii="Arial" w:hAnsi="Arial"/>
                                <w:b/>
                                <w:spacing w:val="-8"/>
                                <w:sz w:val="24"/>
                              </w:rPr>
                              <w:t xml:space="preserve"> </w:t>
                            </w:r>
                            <w:r>
                              <w:rPr>
                                <w:rFonts w:ascii="Arial" w:hAnsi="Arial"/>
                                <w:b/>
                                <w:sz w:val="24"/>
                              </w:rPr>
                              <w:t>that</w:t>
                            </w:r>
                            <w:r>
                              <w:rPr>
                                <w:rFonts w:ascii="Arial" w:hAnsi="Arial"/>
                                <w:b/>
                                <w:spacing w:val="-9"/>
                                <w:sz w:val="24"/>
                              </w:rPr>
                              <w:t xml:space="preserve"> </w:t>
                            </w:r>
                            <w:r>
                              <w:rPr>
                                <w:rFonts w:ascii="Arial" w:hAnsi="Arial"/>
                                <w:b/>
                                <w:sz w:val="24"/>
                              </w:rPr>
                              <w:t>the</w:t>
                            </w:r>
                            <w:r>
                              <w:rPr>
                                <w:rFonts w:ascii="Arial" w:hAnsi="Arial"/>
                                <w:b/>
                                <w:spacing w:val="-10"/>
                                <w:sz w:val="24"/>
                              </w:rPr>
                              <w:t xml:space="preserve"> </w:t>
                            </w:r>
                            <w:r>
                              <w:rPr>
                                <w:rFonts w:ascii="Arial" w:hAnsi="Arial"/>
                                <w:b/>
                                <w:sz w:val="24"/>
                              </w:rPr>
                              <w:t>EU</w:t>
                            </w:r>
                            <w:r>
                              <w:rPr>
                                <w:rFonts w:ascii="Arial" w:hAnsi="Arial"/>
                                <w:b/>
                                <w:spacing w:val="-12"/>
                                <w:sz w:val="24"/>
                              </w:rPr>
                              <w:t xml:space="preserve"> </w:t>
                            </w:r>
                            <w:r>
                              <w:rPr>
                                <w:rFonts w:ascii="Arial" w:hAnsi="Arial"/>
                                <w:b/>
                                <w:sz w:val="24"/>
                              </w:rPr>
                              <w:t>reinforces</w:t>
                            </w:r>
                            <w:r>
                              <w:rPr>
                                <w:rFonts w:ascii="Arial" w:hAnsi="Arial"/>
                                <w:b/>
                                <w:spacing w:val="-10"/>
                                <w:sz w:val="24"/>
                              </w:rPr>
                              <w:t xml:space="preserve"> </w:t>
                            </w:r>
                            <w:r>
                              <w:rPr>
                                <w:rFonts w:ascii="Arial" w:hAnsi="Arial"/>
                                <w:b/>
                                <w:sz w:val="24"/>
                              </w:rPr>
                              <w:t>the</w:t>
                            </w:r>
                            <w:r>
                              <w:rPr>
                                <w:rFonts w:ascii="Arial" w:hAnsi="Arial"/>
                                <w:b/>
                                <w:spacing w:val="-8"/>
                                <w:sz w:val="24"/>
                              </w:rPr>
                              <w:t xml:space="preserve"> </w:t>
                            </w:r>
                            <w:r>
                              <w:rPr>
                                <w:rFonts w:ascii="Arial" w:hAnsi="Arial"/>
                                <w:b/>
                                <w:sz w:val="24"/>
                              </w:rPr>
                              <w:t>rules</w:t>
                            </w:r>
                            <w:r>
                              <w:rPr>
                                <w:rFonts w:ascii="Arial" w:hAnsi="Arial"/>
                                <w:b/>
                                <w:spacing w:val="-8"/>
                                <w:sz w:val="24"/>
                              </w:rPr>
                              <w:t xml:space="preserve"> </w:t>
                            </w:r>
                            <w:r>
                              <w:rPr>
                                <w:rFonts w:ascii="Arial" w:hAnsi="Arial"/>
                                <w:b/>
                                <w:sz w:val="24"/>
                              </w:rPr>
                              <w:t>on</w:t>
                            </w:r>
                            <w:r>
                              <w:rPr>
                                <w:rFonts w:ascii="Arial" w:hAnsi="Arial"/>
                                <w:b/>
                                <w:spacing w:val="-9"/>
                                <w:sz w:val="24"/>
                              </w:rPr>
                              <w:t xml:space="preserve"> </w:t>
                            </w:r>
                            <w:r>
                              <w:rPr>
                                <w:rFonts w:ascii="Arial" w:hAnsi="Arial"/>
                                <w:b/>
                                <w:sz w:val="24"/>
                              </w:rPr>
                              <w:t>implementation</w:t>
                            </w:r>
                            <w:r>
                              <w:rPr>
                                <w:rFonts w:ascii="Arial" w:hAnsi="Arial"/>
                                <w:b/>
                                <w:spacing w:val="-9"/>
                                <w:sz w:val="24"/>
                              </w:rPr>
                              <w:t xml:space="preserve"> </w:t>
                            </w:r>
                            <w:r>
                              <w:rPr>
                                <w:rFonts w:ascii="Arial" w:hAnsi="Arial"/>
                                <w:b/>
                                <w:sz w:val="24"/>
                              </w:rPr>
                              <w:t>of the UNCRPD and the Charter of Fundamental Rights in its cohesion policy and other</w:t>
                            </w:r>
                            <w:r>
                              <w:rPr>
                                <w:rFonts w:ascii="Arial" w:hAnsi="Arial"/>
                                <w:b/>
                                <w:spacing w:val="-17"/>
                                <w:sz w:val="24"/>
                              </w:rPr>
                              <w:t xml:space="preserve"> </w:t>
                            </w:r>
                            <w:r>
                              <w:rPr>
                                <w:rFonts w:ascii="Arial" w:hAnsi="Arial"/>
                                <w:b/>
                                <w:sz w:val="24"/>
                              </w:rPr>
                              <w:t>financial</w:t>
                            </w:r>
                            <w:r>
                              <w:rPr>
                                <w:rFonts w:ascii="Arial" w:hAnsi="Arial"/>
                                <w:b/>
                                <w:spacing w:val="-17"/>
                                <w:sz w:val="24"/>
                              </w:rPr>
                              <w:t xml:space="preserve"> </w:t>
                            </w:r>
                            <w:r>
                              <w:rPr>
                                <w:rFonts w:ascii="Arial" w:hAnsi="Arial"/>
                                <w:b/>
                                <w:sz w:val="24"/>
                              </w:rPr>
                              <w:t>instruments,</w:t>
                            </w:r>
                            <w:r>
                              <w:rPr>
                                <w:rFonts w:ascii="Arial" w:hAnsi="Arial"/>
                                <w:b/>
                                <w:spacing w:val="-16"/>
                                <w:sz w:val="24"/>
                              </w:rPr>
                              <w:t xml:space="preserve"> </w:t>
                            </w:r>
                            <w:r>
                              <w:rPr>
                                <w:rFonts w:ascii="Arial" w:hAnsi="Arial"/>
                                <w:b/>
                                <w:sz w:val="24"/>
                              </w:rPr>
                              <w:t>and</w:t>
                            </w:r>
                            <w:r>
                              <w:rPr>
                                <w:rFonts w:ascii="Arial" w:hAnsi="Arial"/>
                                <w:b/>
                                <w:spacing w:val="-17"/>
                                <w:sz w:val="24"/>
                              </w:rPr>
                              <w:t xml:space="preserve"> </w:t>
                            </w:r>
                            <w:r>
                              <w:rPr>
                                <w:rFonts w:ascii="Arial" w:hAnsi="Arial"/>
                                <w:b/>
                                <w:sz w:val="24"/>
                              </w:rPr>
                              <w:t>ensures</w:t>
                            </w:r>
                            <w:r>
                              <w:rPr>
                                <w:rFonts w:ascii="Arial" w:hAnsi="Arial"/>
                                <w:b/>
                                <w:spacing w:val="-15"/>
                                <w:sz w:val="24"/>
                              </w:rPr>
                              <w:t xml:space="preserve"> </w:t>
                            </w:r>
                            <w:r>
                              <w:rPr>
                                <w:rFonts w:ascii="Arial" w:hAnsi="Arial"/>
                                <w:b/>
                                <w:sz w:val="24"/>
                              </w:rPr>
                              <w:t>that</w:t>
                            </w:r>
                            <w:r>
                              <w:rPr>
                                <w:rFonts w:ascii="Arial" w:hAnsi="Arial"/>
                                <w:b/>
                                <w:spacing w:val="-17"/>
                                <w:sz w:val="24"/>
                              </w:rPr>
                              <w:t xml:space="preserve"> </w:t>
                            </w:r>
                            <w:r>
                              <w:rPr>
                                <w:rFonts w:ascii="Arial" w:hAnsi="Arial"/>
                                <w:b/>
                                <w:sz w:val="24"/>
                              </w:rPr>
                              <w:t>the</w:t>
                            </w:r>
                            <w:r>
                              <w:rPr>
                                <w:rFonts w:ascii="Arial" w:hAnsi="Arial"/>
                                <w:b/>
                                <w:spacing w:val="-15"/>
                                <w:sz w:val="24"/>
                              </w:rPr>
                              <w:t xml:space="preserve"> </w:t>
                            </w:r>
                            <w:r>
                              <w:rPr>
                                <w:rFonts w:ascii="Arial" w:hAnsi="Arial"/>
                                <w:b/>
                                <w:sz w:val="24"/>
                              </w:rPr>
                              <w:t>process</w:t>
                            </w:r>
                            <w:r>
                              <w:rPr>
                                <w:rFonts w:ascii="Arial" w:hAnsi="Arial"/>
                                <w:b/>
                                <w:spacing w:val="-15"/>
                                <w:sz w:val="24"/>
                              </w:rPr>
                              <w:t xml:space="preserve"> </w:t>
                            </w:r>
                            <w:r>
                              <w:rPr>
                                <w:rFonts w:ascii="Arial" w:hAnsi="Arial"/>
                                <w:b/>
                                <w:sz w:val="24"/>
                              </w:rPr>
                              <w:t>of</w:t>
                            </w:r>
                            <w:r>
                              <w:rPr>
                                <w:rFonts w:ascii="Arial" w:hAnsi="Arial"/>
                                <w:b/>
                                <w:spacing w:val="-17"/>
                                <w:sz w:val="24"/>
                              </w:rPr>
                              <w:t xml:space="preserve"> </w:t>
                            </w:r>
                            <w:r>
                              <w:rPr>
                                <w:rFonts w:ascii="Arial" w:hAnsi="Arial"/>
                                <w:b/>
                                <w:sz w:val="24"/>
                              </w:rPr>
                              <w:t>evaluating</w:t>
                            </w:r>
                            <w:r>
                              <w:rPr>
                                <w:rFonts w:ascii="Arial" w:hAnsi="Arial"/>
                                <w:b/>
                                <w:spacing w:val="-17"/>
                                <w:sz w:val="24"/>
                              </w:rPr>
                              <w:t xml:space="preserve"> </w:t>
                            </w:r>
                            <w:r>
                              <w:rPr>
                                <w:rFonts w:ascii="Arial" w:hAnsi="Arial"/>
                                <w:b/>
                                <w:sz w:val="24"/>
                              </w:rPr>
                              <w:t>compliance with such rules is transparent. The EU must involve independent human rights bodies</w:t>
                            </w:r>
                            <w:r>
                              <w:rPr>
                                <w:rFonts w:ascii="Arial" w:hAnsi="Arial"/>
                                <w:b/>
                                <w:spacing w:val="-9"/>
                                <w:sz w:val="24"/>
                              </w:rPr>
                              <w:t xml:space="preserve"> </w:t>
                            </w:r>
                            <w:r>
                              <w:rPr>
                                <w:rFonts w:ascii="Arial" w:hAnsi="Arial"/>
                                <w:b/>
                                <w:sz w:val="24"/>
                              </w:rPr>
                              <w:t>and</w:t>
                            </w:r>
                            <w:r>
                              <w:rPr>
                                <w:rFonts w:ascii="Arial" w:hAnsi="Arial"/>
                                <w:b/>
                                <w:spacing w:val="-13"/>
                                <w:sz w:val="24"/>
                              </w:rPr>
                              <w:t xml:space="preserve"> </w:t>
                            </w:r>
                            <w:r>
                              <w:rPr>
                                <w:rFonts w:ascii="Arial" w:hAnsi="Arial"/>
                                <w:b/>
                                <w:sz w:val="24"/>
                              </w:rPr>
                              <w:t>disabled</w:t>
                            </w:r>
                            <w:r>
                              <w:rPr>
                                <w:rFonts w:ascii="Arial" w:hAnsi="Arial"/>
                                <w:b/>
                                <w:spacing w:val="-12"/>
                                <w:sz w:val="24"/>
                              </w:rPr>
                              <w:t xml:space="preserve"> </w:t>
                            </w:r>
                            <w:r>
                              <w:rPr>
                                <w:rFonts w:ascii="Arial" w:hAnsi="Arial"/>
                                <w:b/>
                                <w:sz w:val="24"/>
                              </w:rPr>
                              <w:t>people’s</w:t>
                            </w:r>
                            <w:r>
                              <w:rPr>
                                <w:rFonts w:ascii="Arial" w:hAnsi="Arial"/>
                                <w:b/>
                                <w:spacing w:val="-11"/>
                                <w:sz w:val="24"/>
                              </w:rPr>
                              <w:t xml:space="preserve"> </w:t>
                            </w:r>
                            <w:proofErr w:type="spellStart"/>
                            <w:r>
                              <w:rPr>
                                <w:rFonts w:ascii="Arial" w:hAnsi="Arial"/>
                                <w:b/>
                                <w:sz w:val="24"/>
                              </w:rPr>
                              <w:t>organisations</w:t>
                            </w:r>
                            <w:proofErr w:type="spellEnd"/>
                            <w:r>
                              <w:rPr>
                                <w:rFonts w:ascii="Arial" w:hAnsi="Arial"/>
                                <w:b/>
                                <w:spacing w:val="-9"/>
                                <w:sz w:val="24"/>
                              </w:rPr>
                              <w:t xml:space="preserve"> </w:t>
                            </w:r>
                            <w:r>
                              <w:rPr>
                                <w:rFonts w:ascii="Arial" w:hAnsi="Arial"/>
                                <w:b/>
                                <w:sz w:val="24"/>
                              </w:rPr>
                              <w:t>(DPOs)</w:t>
                            </w:r>
                            <w:r>
                              <w:rPr>
                                <w:rFonts w:ascii="Arial" w:hAnsi="Arial"/>
                                <w:b/>
                                <w:spacing w:val="-10"/>
                                <w:sz w:val="24"/>
                              </w:rPr>
                              <w:t xml:space="preserve"> </w:t>
                            </w:r>
                            <w:r>
                              <w:rPr>
                                <w:rFonts w:ascii="Arial" w:hAnsi="Arial"/>
                                <w:b/>
                                <w:sz w:val="24"/>
                              </w:rPr>
                              <w:t>when</w:t>
                            </w:r>
                            <w:r>
                              <w:rPr>
                                <w:rFonts w:ascii="Arial" w:hAnsi="Arial"/>
                                <w:b/>
                                <w:spacing w:val="-10"/>
                                <w:sz w:val="24"/>
                              </w:rPr>
                              <w:t xml:space="preserve"> </w:t>
                            </w:r>
                            <w:r>
                              <w:rPr>
                                <w:rFonts w:ascii="Arial" w:hAnsi="Arial"/>
                                <w:b/>
                                <w:sz w:val="24"/>
                              </w:rPr>
                              <w:t>establishing</w:t>
                            </w:r>
                            <w:r>
                              <w:rPr>
                                <w:rFonts w:ascii="Arial" w:hAnsi="Arial"/>
                                <w:b/>
                                <w:spacing w:val="-10"/>
                                <w:sz w:val="24"/>
                              </w:rPr>
                              <w:t xml:space="preserve"> </w:t>
                            </w:r>
                            <w:r>
                              <w:rPr>
                                <w:rFonts w:ascii="Arial" w:hAnsi="Arial"/>
                                <w:b/>
                                <w:sz w:val="24"/>
                              </w:rPr>
                              <w:t>compliance with the UNCRPD and the Charter, as a precondition for MS to access EU funds.</w:t>
                            </w:r>
                          </w:p>
                        </w:txbxContent>
                      </wps:txbx>
                      <wps:bodyPr wrap="square" lIns="0" tIns="0" rIns="0" bIns="0" rtlCol="0">
                        <a:noAutofit/>
                      </wps:bodyPr>
                    </wps:wsp>
                  </a:graphicData>
                </a:graphic>
              </wp:anchor>
            </w:drawing>
          </mc:Choice>
          <mc:Fallback>
            <w:pict>
              <v:shape w14:anchorId="21D9DBA5" id="Textbox 12" o:spid="_x0000_s1032" type="#_x0000_t202" style="position:absolute;margin-left:66.4pt;margin-top:8.5pt;width:479.4pt;height:97.4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" filled="f" strokeweight=".16931mm">
                <v:path arrowok="t"/>
                <v:textbox inset="0,0,0,0">
                  <w:txbxContent>
                    <w:p w14:paraId="2CBF4A17" w14:textId="77777777" w:rsidR="00161C10" w:rsidRDefault="00CE2C8C">
                      <w:pPr>
                        <w:spacing w:before="19" w:line="276" w:lineRule="auto"/>
                        <w:ind w:left="108" w:right="109"/>
                        <w:jc w:val="both"/>
                        <w:rPr>
                          <w:rFonts w:ascii="Arial" w:hAnsi="Arial"/>
                          <w:b/>
                          <w:sz w:val="24"/>
                        </w:rPr>
                      </w:pPr>
                      <w:r>
                        <w:rPr>
                          <w:rFonts w:ascii="Arial" w:hAnsi="Arial"/>
                          <w:b/>
                          <w:sz w:val="24"/>
                        </w:rPr>
                        <w:t>The</w:t>
                      </w:r>
                      <w:r>
                        <w:rPr>
                          <w:rFonts w:ascii="Arial" w:hAnsi="Arial"/>
                          <w:b/>
                          <w:spacing w:val="-8"/>
                          <w:sz w:val="24"/>
                        </w:rPr>
                        <w:t xml:space="preserve"> </w:t>
                      </w:r>
                      <w:r>
                        <w:rPr>
                          <w:rFonts w:ascii="Arial" w:hAnsi="Arial"/>
                          <w:b/>
                          <w:sz w:val="24"/>
                        </w:rPr>
                        <w:t>Committee</w:t>
                      </w:r>
                      <w:r>
                        <w:rPr>
                          <w:rFonts w:ascii="Arial" w:hAnsi="Arial"/>
                          <w:b/>
                          <w:spacing w:val="-8"/>
                          <w:sz w:val="24"/>
                        </w:rPr>
                        <w:t xml:space="preserve"> </w:t>
                      </w:r>
                      <w:r>
                        <w:rPr>
                          <w:rFonts w:ascii="Arial" w:hAnsi="Arial"/>
                          <w:b/>
                          <w:sz w:val="24"/>
                        </w:rPr>
                        <w:t>recommends</w:t>
                      </w:r>
                      <w:r>
                        <w:rPr>
                          <w:rFonts w:ascii="Arial" w:hAnsi="Arial"/>
                          <w:b/>
                          <w:spacing w:val="-8"/>
                          <w:sz w:val="24"/>
                        </w:rPr>
                        <w:t xml:space="preserve"> </w:t>
                      </w:r>
                      <w:r>
                        <w:rPr>
                          <w:rFonts w:ascii="Arial" w:hAnsi="Arial"/>
                          <w:b/>
                          <w:sz w:val="24"/>
                        </w:rPr>
                        <w:t>that</w:t>
                      </w:r>
                      <w:r>
                        <w:rPr>
                          <w:rFonts w:ascii="Arial" w:hAnsi="Arial"/>
                          <w:b/>
                          <w:spacing w:val="-9"/>
                          <w:sz w:val="24"/>
                        </w:rPr>
                        <w:t xml:space="preserve"> </w:t>
                      </w:r>
                      <w:r>
                        <w:rPr>
                          <w:rFonts w:ascii="Arial" w:hAnsi="Arial"/>
                          <w:b/>
                          <w:sz w:val="24"/>
                        </w:rPr>
                        <w:t>the</w:t>
                      </w:r>
                      <w:r>
                        <w:rPr>
                          <w:rFonts w:ascii="Arial" w:hAnsi="Arial"/>
                          <w:b/>
                          <w:spacing w:val="-10"/>
                          <w:sz w:val="24"/>
                        </w:rPr>
                        <w:t xml:space="preserve"> </w:t>
                      </w:r>
                      <w:r>
                        <w:rPr>
                          <w:rFonts w:ascii="Arial" w:hAnsi="Arial"/>
                          <w:b/>
                          <w:sz w:val="24"/>
                        </w:rPr>
                        <w:t>EU</w:t>
                      </w:r>
                      <w:r>
                        <w:rPr>
                          <w:rFonts w:ascii="Arial" w:hAnsi="Arial"/>
                          <w:b/>
                          <w:spacing w:val="-12"/>
                          <w:sz w:val="24"/>
                        </w:rPr>
                        <w:t xml:space="preserve"> </w:t>
                      </w:r>
                      <w:r>
                        <w:rPr>
                          <w:rFonts w:ascii="Arial" w:hAnsi="Arial"/>
                          <w:b/>
                          <w:sz w:val="24"/>
                        </w:rPr>
                        <w:t>reinforces</w:t>
                      </w:r>
                      <w:r>
                        <w:rPr>
                          <w:rFonts w:ascii="Arial" w:hAnsi="Arial"/>
                          <w:b/>
                          <w:spacing w:val="-10"/>
                          <w:sz w:val="24"/>
                        </w:rPr>
                        <w:t xml:space="preserve"> </w:t>
                      </w:r>
                      <w:r>
                        <w:rPr>
                          <w:rFonts w:ascii="Arial" w:hAnsi="Arial"/>
                          <w:b/>
                          <w:sz w:val="24"/>
                        </w:rPr>
                        <w:t>the</w:t>
                      </w:r>
                      <w:r>
                        <w:rPr>
                          <w:rFonts w:ascii="Arial" w:hAnsi="Arial"/>
                          <w:b/>
                          <w:spacing w:val="-8"/>
                          <w:sz w:val="24"/>
                        </w:rPr>
                        <w:t xml:space="preserve"> </w:t>
                      </w:r>
                      <w:r>
                        <w:rPr>
                          <w:rFonts w:ascii="Arial" w:hAnsi="Arial"/>
                          <w:b/>
                          <w:sz w:val="24"/>
                        </w:rPr>
                        <w:t>rules</w:t>
                      </w:r>
                      <w:r>
                        <w:rPr>
                          <w:rFonts w:ascii="Arial" w:hAnsi="Arial"/>
                          <w:b/>
                          <w:spacing w:val="-8"/>
                          <w:sz w:val="24"/>
                        </w:rPr>
                        <w:t xml:space="preserve"> </w:t>
                      </w:r>
                      <w:r>
                        <w:rPr>
                          <w:rFonts w:ascii="Arial" w:hAnsi="Arial"/>
                          <w:b/>
                          <w:sz w:val="24"/>
                        </w:rPr>
                        <w:t>on</w:t>
                      </w:r>
                      <w:r>
                        <w:rPr>
                          <w:rFonts w:ascii="Arial" w:hAnsi="Arial"/>
                          <w:b/>
                          <w:spacing w:val="-9"/>
                          <w:sz w:val="24"/>
                        </w:rPr>
                        <w:t xml:space="preserve"> </w:t>
                      </w:r>
                      <w:r>
                        <w:rPr>
                          <w:rFonts w:ascii="Arial" w:hAnsi="Arial"/>
                          <w:b/>
                          <w:sz w:val="24"/>
                        </w:rPr>
                        <w:t>implementation</w:t>
                      </w:r>
                      <w:r>
                        <w:rPr>
                          <w:rFonts w:ascii="Arial" w:hAnsi="Arial"/>
                          <w:b/>
                          <w:spacing w:val="-9"/>
                          <w:sz w:val="24"/>
                        </w:rPr>
                        <w:t xml:space="preserve"> </w:t>
                      </w:r>
                      <w:r>
                        <w:rPr>
                          <w:rFonts w:ascii="Arial" w:hAnsi="Arial"/>
                          <w:b/>
                          <w:sz w:val="24"/>
                        </w:rPr>
                        <w:t>of the UNCRPD and the Charter of Fundamental Rights in its cohesion policy and other</w:t>
                      </w:r>
                      <w:r>
                        <w:rPr>
                          <w:rFonts w:ascii="Arial" w:hAnsi="Arial"/>
                          <w:b/>
                          <w:spacing w:val="-17"/>
                          <w:sz w:val="24"/>
                        </w:rPr>
                        <w:t xml:space="preserve"> </w:t>
                      </w:r>
                      <w:r>
                        <w:rPr>
                          <w:rFonts w:ascii="Arial" w:hAnsi="Arial"/>
                          <w:b/>
                          <w:sz w:val="24"/>
                        </w:rPr>
                        <w:t>financial</w:t>
                      </w:r>
                      <w:r>
                        <w:rPr>
                          <w:rFonts w:ascii="Arial" w:hAnsi="Arial"/>
                          <w:b/>
                          <w:spacing w:val="-17"/>
                          <w:sz w:val="24"/>
                        </w:rPr>
                        <w:t xml:space="preserve"> </w:t>
                      </w:r>
                      <w:r>
                        <w:rPr>
                          <w:rFonts w:ascii="Arial" w:hAnsi="Arial"/>
                          <w:b/>
                          <w:sz w:val="24"/>
                        </w:rPr>
                        <w:t>instruments,</w:t>
                      </w:r>
                      <w:r>
                        <w:rPr>
                          <w:rFonts w:ascii="Arial" w:hAnsi="Arial"/>
                          <w:b/>
                          <w:spacing w:val="-16"/>
                          <w:sz w:val="24"/>
                        </w:rPr>
                        <w:t xml:space="preserve"> </w:t>
                      </w:r>
                      <w:r>
                        <w:rPr>
                          <w:rFonts w:ascii="Arial" w:hAnsi="Arial"/>
                          <w:b/>
                          <w:sz w:val="24"/>
                        </w:rPr>
                        <w:t>and</w:t>
                      </w:r>
                      <w:r>
                        <w:rPr>
                          <w:rFonts w:ascii="Arial" w:hAnsi="Arial"/>
                          <w:b/>
                          <w:spacing w:val="-17"/>
                          <w:sz w:val="24"/>
                        </w:rPr>
                        <w:t xml:space="preserve"> </w:t>
                      </w:r>
                      <w:r>
                        <w:rPr>
                          <w:rFonts w:ascii="Arial" w:hAnsi="Arial"/>
                          <w:b/>
                          <w:sz w:val="24"/>
                        </w:rPr>
                        <w:t>ensures</w:t>
                      </w:r>
                      <w:r>
                        <w:rPr>
                          <w:rFonts w:ascii="Arial" w:hAnsi="Arial"/>
                          <w:b/>
                          <w:spacing w:val="-15"/>
                          <w:sz w:val="24"/>
                        </w:rPr>
                        <w:t xml:space="preserve"> </w:t>
                      </w:r>
                      <w:r>
                        <w:rPr>
                          <w:rFonts w:ascii="Arial" w:hAnsi="Arial"/>
                          <w:b/>
                          <w:sz w:val="24"/>
                        </w:rPr>
                        <w:t>that</w:t>
                      </w:r>
                      <w:r>
                        <w:rPr>
                          <w:rFonts w:ascii="Arial" w:hAnsi="Arial"/>
                          <w:b/>
                          <w:spacing w:val="-17"/>
                          <w:sz w:val="24"/>
                        </w:rPr>
                        <w:t xml:space="preserve"> </w:t>
                      </w:r>
                      <w:r>
                        <w:rPr>
                          <w:rFonts w:ascii="Arial" w:hAnsi="Arial"/>
                          <w:b/>
                          <w:sz w:val="24"/>
                        </w:rPr>
                        <w:t>the</w:t>
                      </w:r>
                      <w:r>
                        <w:rPr>
                          <w:rFonts w:ascii="Arial" w:hAnsi="Arial"/>
                          <w:b/>
                          <w:spacing w:val="-15"/>
                          <w:sz w:val="24"/>
                        </w:rPr>
                        <w:t xml:space="preserve"> </w:t>
                      </w:r>
                      <w:r>
                        <w:rPr>
                          <w:rFonts w:ascii="Arial" w:hAnsi="Arial"/>
                          <w:b/>
                          <w:sz w:val="24"/>
                        </w:rPr>
                        <w:t>process</w:t>
                      </w:r>
                      <w:r>
                        <w:rPr>
                          <w:rFonts w:ascii="Arial" w:hAnsi="Arial"/>
                          <w:b/>
                          <w:spacing w:val="-15"/>
                          <w:sz w:val="24"/>
                        </w:rPr>
                        <w:t xml:space="preserve"> </w:t>
                      </w:r>
                      <w:r>
                        <w:rPr>
                          <w:rFonts w:ascii="Arial" w:hAnsi="Arial"/>
                          <w:b/>
                          <w:sz w:val="24"/>
                        </w:rPr>
                        <w:t>of</w:t>
                      </w:r>
                      <w:r>
                        <w:rPr>
                          <w:rFonts w:ascii="Arial" w:hAnsi="Arial"/>
                          <w:b/>
                          <w:spacing w:val="-17"/>
                          <w:sz w:val="24"/>
                        </w:rPr>
                        <w:t xml:space="preserve"> </w:t>
                      </w:r>
                      <w:r>
                        <w:rPr>
                          <w:rFonts w:ascii="Arial" w:hAnsi="Arial"/>
                          <w:b/>
                          <w:sz w:val="24"/>
                        </w:rPr>
                        <w:t>evaluating</w:t>
                      </w:r>
                      <w:r>
                        <w:rPr>
                          <w:rFonts w:ascii="Arial" w:hAnsi="Arial"/>
                          <w:b/>
                          <w:spacing w:val="-17"/>
                          <w:sz w:val="24"/>
                        </w:rPr>
                        <w:t xml:space="preserve"> </w:t>
                      </w:r>
                      <w:r>
                        <w:rPr>
                          <w:rFonts w:ascii="Arial" w:hAnsi="Arial"/>
                          <w:b/>
                          <w:sz w:val="24"/>
                        </w:rPr>
                        <w:t>compliance with such rules is transparent. The EU must involve independent human rights bodies</w:t>
                      </w:r>
                      <w:r>
                        <w:rPr>
                          <w:rFonts w:ascii="Arial" w:hAnsi="Arial"/>
                          <w:b/>
                          <w:spacing w:val="-9"/>
                          <w:sz w:val="24"/>
                        </w:rPr>
                        <w:t xml:space="preserve"> </w:t>
                      </w:r>
                      <w:r>
                        <w:rPr>
                          <w:rFonts w:ascii="Arial" w:hAnsi="Arial"/>
                          <w:b/>
                          <w:sz w:val="24"/>
                        </w:rPr>
                        <w:t>and</w:t>
                      </w:r>
                      <w:r>
                        <w:rPr>
                          <w:rFonts w:ascii="Arial" w:hAnsi="Arial"/>
                          <w:b/>
                          <w:spacing w:val="-13"/>
                          <w:sz w:val="24"/>
                        </w:rPr>
                        <w:t xml:space="preserve"> </w:t>
                      </w:r>
                      <w:r>
                        <w:rPr>
                          <w:rFonts w:ascii="Arial" w:hAnsi="Arial"/>
                          <w:b/>
                          <w:sz w:val="24"/>
                        </w:rPr>
                        <w:t>disabled</w:t>
                      </w:r>
                      <w:r>
                        <w:rPr>
                          <w:rFonts w:ascii="Arial" w:hAnsi="Arial"/>
                          <w:b/>
                          <w:spacing w:val="-12"/>
                          <w:sz w:val="24"/>
                        </w:rPr>
                        <w:t xml:space="preserve"> </w:t>
                      </w:r>
                      <w:r>
                        <w:rPr>
                          <w:rFonts w:ascii="Arial" w:hAnsi="Arial"/>
                          <w:b/>
                          <w:sz w:val="24"/>
                        </w:rPr>
                        <w:t>people’s</w:t>
                      </w:r>
                      <w:r>
                        <w:rPr>
                          <w:rFonts w:ascii="Arial" w:hAnsi="Arial"/>
                          <w:b/>
                          <w:spacing w:val="-11"/>
                          <w:sz w:val="24"/>
                        </w:rPr>
                        <w:t xml:space="preserve"> </w:t>
                      </w:r>
                      <w:proofErr w:type="spellStart"/>
                      <w:r>
                        <w:rPr>
                          <w:rFonts w:ascii="Arial" w:hAnsi="Arial"/>
                          <w:b/>
                          <w:sz w:val="24"/>
                        </w:rPr>
                        <w:t>organisations</w:t>
                      </w:r>
                      <w:proofErr w:type="spellEnd"/>
                      <w:r>
                        <w:rPr>
                          <w:rFonts w:ascii="Arial" w:hAnsi="Arial"/>
                          <w:b/>
                          <w:spacing w:val="-9"/>
                          <w:sz w:val="24"/>
                        </w:rPr>
                        <w:t xml:space="preserve"> </w:t>
                      </w:r>
                      <w:r>
                        <w:rPr>
                          <w:rFonts w:ascii="Arial" w:hAnsi="Arial"/>
                          <w:b/>
                          <w:sz w:val="24"/>
                        </w:rPr>
                        <w:t>(DPOs)</w:t>
                      </w:r>
                      <w:r>
                        <w:rPr>
                          <w:rFonts w:ascii="Arial" w:hAnsi="Arial"/>
                          <w:b/>
                          <w:spacing w:val="-10"/>
                          <w:sz w:val="24"/>
                        </w:rPr>
                        <w:t xml:space="preserve"> </w:t>
                      </w:r>
                      <w:r>
                        <w:rPr>
                          <w:rFonts w:ascii="Arial" w:hAnsi="Arial"/>
                          <w:b/>
                          <w:sz w:val="24"/>
                        </w:rPr>
                        <w:t>when</w:t>
                      </w:r>
                      <w:r>
                        <w:rPr>
                          <w:rFonts w:ascii="Arial" w:hAnsi="Arial"/>
                          <w:b/>
                          <w:spacing w:val="-10"/>
                          <w:sz w:val="24"/>
                        </w:rPr>
                        <w:t xml:space="preserve"> </w:t>
                      </w:r>
                      <w:r>
                        <w:rPr>
                          <w:rFonts w:ascii="Arial" w:hAnsi="Arial"/>
                          <w:b/>
                          <w:sz w:val="24"/>
                        </w:rPr>
                        <w:t>establishing</w:t>
                      </w:r>
                      <w:r>
                        <w:rPr>
                          <w:rFonts w:ascii="Arial" w:hAnsi="Arial"/>
                          <w:b/>
                          <w:spacing w:val="-10"/>
                          <w:sz w:val="24"/>
                        </w:rPr>
                        <w:t xml:space="preserve"> </w:t>
                      </w:r>
                      <w:r>
                        <w:rPr>
                          <w:rFonts w:ascii="Arial" w:hAnsi="Arial"/>
                          <w:b/>
                          <w:sz w:val="24"/>
                        </w:rPr>
                        <w:t>compliance with the UNCRPD and the Charter, as a precondition for MS to access EU funds.</w:t>
                      </w:r>
                    </w:p>
                  </w:txbxContent>
                </v:textbox>
                <w10:wrap type="topAndBottom" anchorx="page"/>
              </v:shape>
            </w:pict>
          </mc:Fallback>
        </mc:AlternateContent>
      </w:r>
    </w:p>
    <w:p w14:paraId="401CDAD3" w14:textId="77777777" w:rsidR="00161C10" w:rsidRDefault="00161C10">
      <w:pPr>
        <w:pStyle w:val="BodyText"/>
        <w:rPr>
          <w:rFonts w:ascii="Arial"/>
          <w:b/>
          <w:i/>
          <w:sz w:val="12"/>
        </w:rPr>
        <w:sectPr w:rsidR="00161C10">
          <w:pgSz w:w="12240" w:h="15840"/>
          <w:pgMar w:top="1360" w:right="1080" w:bottom="1540" w:left="1080" w:header="0" w:footer="1274" w:gutter="0"/>
          <w:cols w:space="720"/>
        </w:sectPr>
      </w:pPr>
    </w:p>
    <w:p w14:paraId="2E03B283" w14:textId="77777777" w:rsidR="00161C10" w:rsidRDefault="00CE2C8C">
      <w:pPr>
        <w:pStyle w:val="Heading4"/>
        <w:numPr>
          <w:ilvl w:val="1"/>
          <w:numId w:val="11"/>
        </w:numPr>
        <w:tabs>
          <w:tab w:val="left" w:pos="1073"/>
        </w:tabs>
        <w:spacing w:before="81"/>
        <w:ind w:hanging="355"/>
        <w:jc w:val="left"/>
      </w:pPr>
      <w:r>
        <w:lastRenderedPageBreak/>
        <w:t>Reply</w:t>
      </w:r>
      <w:r>
        <w:rPr>
          <w:spacing w:val="-2"/>
        </w:rPr>
        <w:t xml:space="preserve"> </w:t>
      </w:r>
      <w:r>
        <w:t>to</w:t>
      </w:r>
      <w:r>
        <w:rPr>
          <w:spacing w:val="-1"/>
        </w:rPr>
        <w:t xml:space="preserve"> </w:t>
      </w:r>
      <w:r>
        <w:t>issues</w:t>
      </w:r>
      <w:r>
        <w:rPr>
          <w:spacing w:val="-4"/>
        </w:rPr>
        <w:t xml:space="preserve"> </w:t>
      </w:r>
      <w:r>
        <w:t>raised</w:t>
      </w:r>
      <w:r>
        <w:rPr>
          <w:spacing w:val="-1"/>
        </w:rPr>
        <w:t xml:space="preserve"> </w:t>
      </w:r>
      <w:r>
        <w:t>in</w:t>
      </w:r>
      <w:r>
        <w:rPr>
          <w:spacing w:val="-1"/>
        </w:rPr>
        <w:t xml:space="preserve"> </w:t>
      </w:r>
      <w:r>
        <w:t>paragraph</w:t>
      </w:r>
      <w:r>
        <w:rPr>
          <w:spacing w:val="-2"/>
        </w:rPr>
        <w:t xml:space="preserve"> </w:t>
      </w:r>
      <w:r>
        <w:t>2a</w:t>
      </w:r>
      <w:r>
        <w:rPr>
          <w:spacing w:val="-3"/>
        </w:rPr>
        <w:t xml:space="preserve"> </w:t>
      </w:r>
      <w:r>
        <w:t>of</w:t>
      </w:r>
      <w:r>
        <w:rPr>
          <w:spacing w:val="-2"/>
        </w:rPr>
        <w:t xml:space="preserve"> </w:t>
      </w:r>
      <w:r>
        <w:t>the</w:t>
      </w:r>
      <w:r>
        <w:rPr>
          <w:spacing w:val="-1"/>
        </w:rPr>
        <w:t xml:space="preserve"> </w:t>
      </w:r>
      <w:r>
        <w:t>list</w:t>
      </w:r>
      <w:r>
        <w:rPr>
          <w:spacing w:val="-1"/>
        </w:rPr>
        <w:t xml:space="preserve"> </w:t>
      </w:r>
      <w:r>
        <w:t>of</w:t>
      </w:r>
      <w:r>
        <w:rPr>
          <w:spacing w:val="-4"/>
        </w:rPr>
        <w:t xml:space="preserve"> </w:t>
      </w:r>
      <w:r>
        <w:rPr>
          <w:spacing w:val="-2"/>
        </w:rPr>
        <w:t>issues</w:t>
      </w:r>
    </w:p>
    <w:p w14:paraId="5EE4079B" w14:textId="77777777" w:rsidR="00161C10" w:rsidRDefault="00CE2C8C">
      <w:pPr>
        <w:spacing w:before="159" w:line="276" w:lineRule="auto"/>
        <w:ind w:left="360" w:right="357"/>
        <w:jc w:val="both"/>
        <w:rPr>
          <w:rFonts w:ascii="Arial" w:hAnsi="Arial"/>
          <w:i/>
          <w:sz w:val="24"/>
        </w:rPr>
      </w:pPr>
      <w:r>
        <w:rPr>
          <w:rFonts w:ascii="Arial" w:hAnsi="Arial"/>
          <w:i/>
          <w:sz w:val="24"/>
        </w:rPr>
        <w:t>The</w:t>
      </w:r>
      <w:r>
        <w:rPr>
          <w:rFonts w:ascii="Arial" w:hAnsi="Arial"/>
          <w:i/>
          <w:spacing w:val="-8"/>
          <w:sz w:val="24"/>
        </w:rPr>
        <w:t xml:space="preserve"> </w:t>
      </w:r>
      <w:r>
        <w:rPr>
          <w:rFonts w:ascii="Arial" w:hAnsi="Arial"/>
          <w:i/>
          <w:sz w:val="24"/>
        </w:rPr>
        <w:t>European</w:t>
      </w:r>
      <w:r>
        <w:rPr>
          <w:rFonts w:ascii="Arial" w:hAnsi="Arial"/>
          <w:i/>
          <w:spacing w:val="-8"/>
          <w:sz w:val="24"/>
        </w:rPr>
        <w:t xml:space="preserve"> </w:t>
      </w:r>
      <w:r>
        <w:rPr>
          <w:rFonts w:ascii="Arial" w:hAnsi="Arial"/>
          <w:i/>
          <w:sz w:val="24"/>
        </w:rPr>
        <w:t>Union</w:t>
      </w:r>
      <w:r>
        <w:rPr>
          <w:rFonts w:ascii="Arial" w:hAnsi="Arial"/>
          <w:i/>
          <w:spacing w:val="-8"/>
          <w:sz w:val="24"/>
        </w:rPr>
        <w:t xml:space="preserve"> </w:t>
      </w:r>
      <w:r>
        <w:rPr>
          <w:rFonts w:ascii="Arial" w:hAnsi="Arial"/>
          <w:i/>
          <w:sz w:val="24"/>
        </w:rPr>
        <w:t>states</w:t>
      </w:r>
      <w:r>
        <w:rPr>
          <w:rFonts w:ascii="Arial" w:hAnsi="Arial"/>
          <w:i/>
          <w:spacing w:val="-9"/>
          <w:sz w:val="24"/>
        </w:rPr>
        <w:t xml:space="preserve"> </w:t>
      </w:r>
      <w:r>
        <w:rPr>
          <w:rFonts w:ascii="Arial" w:hAnsi="Arial"/>
          <w:i/>
          <w:sz w:val="24"/>
        </w:rPr>
        <w:t>that</w:t>
      </w:r>
      <w:r>
        <w:rPr>
          <w:rFonts w:ascii="Arial" w:hAnsi="Arial"/>
          <w:i/>
          <w:spacing w:val="-8"/>
          <w:sz w:val="24"/>
        </w:rPr>
        <w:t xml:space="preserve"> </w:t>
      </w:r>
      <w:r>
        <w:rPr>
          <w:rFonts w:ascii="Arial" w:hAnsi="Arial"/>
          <w:i/>
          <w:sz w:val="24"/>
        </w:rPr>
        <w:t>“all</w:t>
      </w:r>
      <w:r>
        <w:rPr>
          <w:rFonts w:ascii="Arial" w:hAnsi="Arial"/>
          <w:i/>
          <w:spacing w:val="-10"/>
          <w:sz w:val="24"/>
        </w:rPr>
        <w:t xml:space="preserve"> </w:t>
      </w:r>
      <w:r>
        <w:rPr>
          <w:rFonts w:ascii="Arial" w:hAnsi="Arial"/>
          <w:i/>
          <w:sz w:val="24"/>
        </w:rPr>
        <w:t>Commission</w:t>
      </w:r>
      <w:r>
        <w:rPr>
          <w:rFonts w:ascii="Arial" w:hAnsi="Arial"/>
          <w:i/>
          <w:spacing w:val="-8"/>
          <w:sz w:val="24"/>
        </w:rPr>
        <w:t xml:space="preserve"> </w:t>
      </w:r>
      <w:r>
        <w:rPr>
          <w:rFonts w:ascii="Arial" w:hAnsi="Arial"/>
          <w:i/>
          <w:sz w:val="24"/>
        </w:rPr>
        <w:t>services</w:t>
      </w:r>
      <w:r>
        <w:rPr>
          <w:rFonts w:ascii="Arial" w:hAnsi="Arial"/>
          <w:i/>
          <w:spacing w:val="-9"/>
          <w:sz w:val="24"/>
        </w:rPr>
        <w:t xml:space="preserve"> </w:t>
      </w:r>
      <w:r>
        <w:rPr>
          <w:rFonts w:ascii="Arial" w:hAnsi="Arial"/>
          <w:i/>
          <w:sz w:val="24"/>
        </w:rPr>
        <w:t>have</w:t>
      </w:r>
      <w:r>
        <w:rPr>
          <w:rFonts w:ascii="Arial" w:hAnsi="Arial"/>
          <w:i/>
          <w:spacing w:val="-2"/>
          <w:sz w:val="24"/>
        </w:rPr>
        <w:t xml:space="preserve"> </w:t>
      </w:r>
      <w:r>
        <w:rPr>
          <w:rFonts w:ascii="Arial" w:hAnsi="Arial"/>
          <w:i/>
          <w:sz w:val="24"/>
        </w:rPr>
        <w:t>nominated</w:t>
      </w:r>
      <w:r>
        <w:rPr>
          <w:rFonts w:ascii="Arial" w:hAnsi="Arial"/>
          <w:i/>
          <w:spacing w:val="-8"/>
          <w:sz w:val="24"/>
        </w:rPr>
        <w:t xml:space="preserve"> </w:t>
      </w:r>
      <w:r>
        <w:rPr>
          <w:rFonts w:ascii="Arial" w:hAnsi="Arial"/>
          <w:i/>
          <w:sz w:val="24"/>
        </w:rPr>
        <w:t>their</w:t>
      </w:r>
      <w:r>
        <w:rPr>
          <w:rFonts w:ascii="Arial" w:hAnsi="Arial"/>
          <w:i/>
          <w:spacing w:val="-10"/>
          <w:sz w:val="24"/>
        </w:rPr>
        <w:t xml:space="preserve"> </w:t>
      </w:r>
      <w:r>
        <w:rPr>
          <w:rFonts w:ascii="Arial" w:hAnsi="Arial"/>
          <w:i/>
          <w:sz w:val="24"/>
        </w:rPr>
        <w:t>disability coordinators, responsible for mainstreaming disability within their departments”.</w:t>
      </w:r>
    </w:p>
    <w:p w14:paraId="6D04B21A" w14:textId="77777777" w:rsidR="00161C10" w:rsidRDefault="00CE2C8C">
      <w:pPr>
        <w:pStyle w:val="BodyText"/>
        <w:spacing w:before="119" w:line="276" w:lineRule="auto"/>
        <w:ind w:left="360" w:right="354"/>
        <w:jc w:val="both"/>
      </w:pPr>
      <w:r>
        <w:t xml:space="preserve">Despite progress in appointing disability focal points, which is positive, we lack information on who they are and what they do, which would allow us to report on the outcomes of their work. In addition, the European Commission has drastically reduced contact information available on the EU’s </w:t>
      </w:r>
      <w:hyperlink r:id="rId30">
        <w:r>
          <w:rPr>
            <w:color w:val="1154CC"/>
            <w:u w:val="single" w:color="1154CC"/>
          </w:rPr>
          <w:t>Who is Who website</w:t>
        </w:r>
      </w:hyperlink>
      <w:r>
        <w:t>. As a result, disabled people’s</w:t>
      </w:r>
      <w:r>
        <w:rPr>
          <w:spacing w:val="-5"/>
        </w:rPr>
        <w:t xml:space="preserve"> </w:t>
      </w:r>
      <w:proofErr w:type="spellStart"/>
      <w:r>
        <w:t>organisations</w:t>
      </w:r>
      <w:proofErr w:type="spellEnd"/>
      <w:r>
        <w:rPr>
          <w:spacing w:val="-8"/>
        </w:rPr>
        <w:t xml:space="preserve"> </w:t>
      </w:r>
      <w:r>
        <w:t>(DPOs)</w:t>
      </w:r>
      <w:r>
        <w:rPr>
          <w:spacing w:val="-6"/>
        </w:rPr>
        <w:t xml:space="preserve"> </w:t>
      </w:r>
      <w:r>
        <w:t>are</w:t>
      </w:r>
      <w:r>
        <w:rPr>
          <w:spacing w:val="-5"/>
        </w:rPr>
        <w:t xml:space="preserve"> </w:t>
      </w:r>
      <w:r>
        <w:t>unable</w:t>
      </w:r>
      <w:r>
        <w:rPr>
          <w:spacing w:val="-7"/>
        </w:rPr>
        <w:t xml:space="preserve"> </w:t>
      </w:r>
      <w:r>
        <w:t>to</w:t>
      </w:r>
      <w:r>
        <w:rPr>
          <w:spacing w:val="-4"/>
        </w:rPr>
        <w:t xml:space="preserve"> </w:t>
      </w:r>
      <w:r>
        <w:t>reach</w:t>
      </w:r>
      <w:r>
        <w:rPr>
          <w:spacing w:val="-7"/>
        </w:rPr>
        <w:t xml:space="preserve"> </w:t>
      </w:r>
      <w:r>
        <w:t>out</w:t>
      </w:r>
      <w:r>
        <w:rPr>
          <w:spacing w:val="-7"/>
        </w:rPr>
        <w:t xml:space="preserve"> </w:t>
      </w:r>
      <w:r>
        <w:t>to</w:t>
      </w:r>
      <w:r>
        <w:rPr>
          <w:spacing w:val="-7"/>
        </w:rPr>
        <w:t xml:space="preserve"> </w:t>
      </w:r>
      <w:r>
        <w:t>disability</w:t>
      </w:r>
      <w:r>
        <w:rPr>
          <w:spacing w:val="-5"/>
        </w:rPr>
        <w:t xml:space="preserve"> </w:t>
      </w:r>
      <w:r>
        <w:t>focal</w:t>
      </w:r>
      <w:r>
        <w:rPr>
          <w:spacing w:val="-6"/>
        </w:rPr>
        <w:t xml:space="preserve"> </w:t>
      </w:r>
      <w:r>
        <w:t>points,</w:t>
      </w:r>
      <w:r>
        <w:rPr>
          <w:spacing w:val="-5"/>
        </w:rPr>
        <w:t xml:space="preserve"> </w:t>
      </w:r>
      <w:r>
        <w:t>nor</w:t>
      </w:r>
      <w:r>
        <w:rPr>
          <w:spacing w:val="-6"/>
        </w:rPr>
        <w:t xml:space="preserve"> </w:t>
      </w:r>
      <w:r>
        <w:t>have we</w:t>
      </w:r>
      <w:r>
        <w:rPr>
          <w:spacing w:val="-9"/>
        </w:rPr>
        <w:t xml:space="preserve"> </w:t>
      </w:r>
      <w:r>
        <w:t>ever</w:t>
      </w:r>
      <w:r>
        <w:rPr>
          <w:spacing w:val="-10"/>
        </w:rPr>
        <w:t xml:space="preserve"> </w:t>
      </w:r>
      <w:r>
        <w:t>been</w:t>
      </w:r>
      <w:r>
        <w:rPr>
          <w:spacing w:val="-11"/>
        </w:rPr>
        <w:t xml:space="preserve"> </w:t>
      </w:r>
      <w:r>
        <w:t>contacted</w:t>
      </w:r>
      <w:r>
        <w:rPr>
          <w:spacing w:val="-8"/>
        </w:rPr>
        <w:t xml:space="preserve"> </w:t>
      </w:r>
      <w:r>
        <w:t>by</w:t>
      </w:r>
      <w:r>
        <w:rPr>
          <w:spacing w:val="-9"/>
        </w:rPr>
        <w:t xml:space="preserve"> </w:t>
      </w:r>
      <w:r>
        <w:t>them.</w:t>
      </w:r>
      <w:r>
        <w:rPr>
          <w:spacing w:val="-11"/>
        </w:rPr>
        <w:t xml:space="preserve"> </w:t>
      </w:r>
      <w:r>
        <w:t>We</w:t>
      </w:r>
      <w:r>
        <w:rPr>
          <w:spacing w:val="-11"/>
        </w:rPr>
        <w:t xml:space="preserve"> </w:t>
      </w:r>
      <w:r>
        <w:t>also</w:t>
      </w:r>
      <w:r>
        <w:rPr>
          <w:spacing w:val="-9"/>
        </w:rPr>
        <w:t xml:space="preserve"> </w:t>
      </w:r>
      <w:r>
        <w:t>lack</w:t>
      </w:r>
      <w:r>
        <w:rPr>
          <w:spacing w:val="-9"/>
        </w:rPr>
        <w:t xml:space="preserve"> </w:t>
      </w:r>
      <w:r>
        <w:t>information</w:t>
      </w:r>
      <w:r>
        <w:rPr>
          <w:spacing w:val="-11"/>
        </w:rPr>
        <w:t xml:space="preserve"> </w:t>
      </w:r>
      <w:r>
        <w:t>over</w:t>
      </w:r>
      <w:r>
        <w:rPr>
          <w:spacing w:val="-10"/>
        </w:rPr>
        <w:t xml:space="preserve"> </w:t>
      </w:r>
      <w:r>
        <w:t>the</w:t>
      </w:r>
      <w:r>
        <w:rPr>
          <w:spacing w:val="-11"/>
        </w:rPr>
        <w:t xml:space="preserve"> </w:t>
      </w:r>
      <w:r>
        <w:t>appointment</w:t>
      </w:r>
      <w:r>
        <w:rPr>
          <w:spacing w:val="-9"/>
        </w:rPr>
        <w:t xml:space="preserve"> </w:t>
      </w:r>
      <w:r>
        <w:t>of</w:t>
      </w:r>
      <w:r>
        <w:rPr>
          <w:spacing w:val="-11"/>
        </w:rPr>
        <w:t xml:space="preserve"> </w:t>
      </w:r>
      <w:r>
        <w:t>these focal points and their expertise on the UNCRPD and the right to independent living.</w:t>
      </w:r>
    </w:p>
    <w:p w14:paraId="683185C1" w14:textId="77777777" w:rsidR="00161C10" w:rsidRDefault="00CE2C8C">
      <w:pPr>
        <w:spacing w:before="121"/>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4EE5361F" w14:textId="77777777" w:rsidR="00161C10" w:rsidRDefault="00CE2C8C">
      <w:pPr>
        <w:pStyle w:val="BodyText"/>
        <w:spacing w:before="1"/>
        <w:rPr>
          <w:rFonts w:ascii="Arial"/>
          <w:b/>
          <w:i/>
          <w:sz w:val="12"/>
        </w:rPr>
      </w:pPr>
      <w:r>
        <w:rPr>
          <w:rFonts w:ascii="Arial"/>
          <w:b/>
          <w:i/>
          <w:noProof/>
          <w:sz w:val="12"/>
        </w:rPr>
        <mc:AlternateContent>
          <mc:Choice Requires="wps">
            <w:drawing>
              <wp:anchor distT="0" distB="0" distL="0" distR="0" simplePos="0" relativeHeight="487590912" behindDoc="1" locked="0" layoutInCell="1" allowOverlap="1" wp14:anchorId="588AC4EB" wp14:editId="5EB14775">
                <wp:simplePos x="0" y="0"/>
                <wp:positionH relativeFrom="page">
                  <wp:posOffset>843076</wp:posOffset>
                </wp:positionH>
                <wp:positionV relativeFrom="paragraph">
                  <wp:posOffset>106833</wp:posOffset>
                </wp:positionV>
                <wp:extent cx="6088380" cy="83566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835660"/>
                        </a:xfrm>
                        <a:prstGeom prst="rect">
                          <a:avLst/>
                        </a:prstGeom>
                        <a:ln w="6095">
                          <a:solidFill>
                            <a:srgbClr val="000000"/>
                          </a:solidFill>
                          <a:prstDash val="solid"/>
                        </a:ln>
                      </wps:spPr>
                      <wps:txbx>
                        <w:txbxContent>
                          <w:p w14:paraId="699D0E0E" w14:textId="77777777" w:rsidR="00161C10" w:rsidRDefault="00CE2C8C">
                            <w:pPr>
                              <w:spacing w:before="19" w:line="276" w:lineRule="auto"/>
                              <w:ind w:left="108" w:right="112"/>
                              <w:jc w:val="both"/>
                              <w:rPr>
                                <w:rFonts w:ascii="Arial"/>
                                <w:b/>
                                <w:sz w:val="24"/>
                              </w:rPr>
                            </w:pPr>
                            <w:r>
                              <w:rPr>
                                <w:rFonts w:ascii="Arial"/>
                                <w:b/>
                                <w:sz w:val="24"/>
                              </w:rPr>
                              <w:t xml:space="preserve">The Committee recommends that the EU increases transparency over the appointment of disability focal points, their roles and tasks, makes their contact information publicly available and ensures meaningful involvement of disabled people and their </w:t>
                            </w:r>
                            <w:proofErr w:type="spellStart"/>
                            <w:r>
                              <w:rPr>
                                <w:rFonts w:ascii="Arial"/>
                                <w:b/>
                                <w:sz w:val="24"/>
                              </w:rPr>
                              <w:t>organisations</w:t>
                            </w:r>
                            <w:proofErr w:type="spellEnd"/>
                            <w:r>
                              <w:rPr>
                                <w:rFonts w:ascii="Arial"/>
                                <w:b/>
                                <w:sz w:val="24"/>
                              </w:rPr>
                              <w:t xml:space="preserve"> in their work.</w:t>
                            </w:r>
                          </w:p>
                        </w:txbxContent>
                      </wps:txbx>
                      <wps:bodyPr wrap="square" lIns="0" tIns="0" rIns="0" bIns="0" rtlCol="0">
                        <a:noAutofit/>
                      </wps:bodyPr>
                    </wps:wsp>
                  </a:graphicData>
                </a:graphic>
              </wp:anchor>
            </w:drawing>
          </mc:Choice>
          <mc:Fallback>
            <w:pict>
              <v:shape w14:anchorId="588AC4EB" id="Textbox 13" o:spid="_x0000_s1033" type="#_x0000_t202" style="position:absolute;margin-left:66.4pt;margin-top:8.4pt;width:479.4pt;height:65.8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" filled="f" strokeweight=".16931mm">
                <v:path arrowok="t"/>
                <v:textbox inset="0,0,0,0">
                  <w:txbxContent>
                    <w:p w14:paraId="699D0E0E" w14:textId="77777777" w:rsidR="00161C10" w:rsidRDefault="00CE2C8C">
                      <w:pPr>
                        <w:spacing w:before="19" w:line="276" w:lineRule="auto"/>
                        <w:ind w:left="108" w:right="112"/>
                        <w:jc w:val="both"/>
                        <w:rPr>
                          <w:rFonts w:ascii="Arial"/>
                          <w:b/>
                          <w:sz w:val="24"/>
                        </w:rPr>
                      </w:pPr>
                      <w:r>
                        <w:rPr>
                          <w:rFonts w:ascii="Arial"/>
                          <w:b/>
                          <w:sz w:val="24"/>
                        </w:rPr>
                        <w:t xml:space="preserve">The Committee recommends that the EU increases transparency over the appointment of disability focal points, their roles and tasks, makes their contact information publicly available and ensures meaningful involvement of disabled people and their </w:t>
                      </w:r>
                      <w:proofErr w:type="spellStart"/>
                      <w:r>
                        <w:rPr>
                          <w:rFonts w:ascii="Arial"/>
                          <w:b/>
                          <w:sz w:val="24"/>
                        </w:rPr>
                        <w:t>organisations</w:t>
                      </w:r>
                      <w:proofErr w:type="spellEnd"/>
                      <w:r>
                        <w:rPr>
                          <w:rFonts w:ascii="Arial"/>
                          <w:b/>
                          <w:sz w:val="24"/>
                        </w:rPr>
                        <w:t xml:space="preserve"> in their work.</w:t>
                      </w:r>
                    </w:p>
                  </w:txbxContent>
                </v:textbox>
                <w10:wrap type="topAndBottom" anchorx="page"/>
              </v:shape>
            </w:pict>
          </mc:Fallback>
        </mc:AlternateContent>
      </w:r>
    </w:p>
    <w:p w14:paraId="4A5A2A83" w14:textId="77777777" w:rsidR="00161C10" w:rsidRDefault="00CE2C8C">
      <w:pPr>
        <w:pStyle w:val="Heading4"/>
        <w:numPr>
          <w:ilvl w:val="1"/>
          <w:numId w:val="11"/>
        </w:numPr>
        <w:tabs>
          <w:tab w:val="left" w:pos="1073"/>
        </w:tabs>
        <w:spacing w:before="248"/>
        <w:ind w:hanging="355"/>
        <w:jc w:val="left"/>
      </w:pPr>
      <w:r>
        <w:t>Reply</w:t>
      </w:r>
      <w:r>
        <w:rPr>
          <w:spacing w:val="-2"/>
        </w:rPr>
        <w:t xml:space="preserve"> </w:t>
      </w:r>
      <w:r>
        <w:t>to</w:t>
      </w:r>
      <w:r>
        <w:rPr>
          <w:spacing w:val="-2"/>
        </w:rPr>
        <w:t xml:space="preserve"> </w:t>
      </w:r>
      <w:r>
        <w:t>issues</w:t>
      </w:r>
      <w:r>
        <w:rPr>
          <w:spacing w:val="-3"/>
        </w:rPr>
        <w:t xml:space="preserve"> </w:t>
      </w:r>
      <w:r>
        <w:t>raised</w:t>
      </w:r>
      <w:r>
        <w:rPr>
          <w:spacing w:val="-2"/>
        </w:rPr>
        <w:t xml:space="preserve"> </w:t>
      </w:r>
      <w:r>
        <w:t>in</w:t>
      </w:r>
      <w:r>
        <w:rPr>
          <w:spacing w:val="-2"/>
        </w:rPr>
        <w:t xml:space="preserve"> </w:t>
      </w:r>
      <w:r>
        <w:t>paragraph</w:t>
      </w:r>
      <w:r>
        <w:rPr>
          <w:spacing w:val="-1"/>
        </w:rPr>
        <w:t xml:space="preserve"> </w:t>
      </w:r>
      <w:r>
        <w:t>3</w:t>
      </w:r>
      <w:r>
        <w:rPr>
          <w:spacing w:val="-2"/>
        </w:rPr>
        <w:t xml:space="preserve"> </w:t>
      </w:r>
      <w:r>
        <w:t>of</w:t>
      </w:r>
      <w:r>
        <w:rPr>
          <w:spacing w:val="-2"/>
        </w:rPr>
        <w:t xml:space="preserve"> </w:t>
      </w:r>
      <w:r>
        <w:t>the</w:t>
      </w:r>
      <w:r>
        <w:rPr>
          <w:spacing w:val="-2"/>
        </w:rPr>
        <w:t xml:space="preserve"> </w:t>
      </w:r>
      <w:r>
        <w:t>list</w:t>
      </w:r>
      <w:r>
        <w:rPr>
          <w:spacing w:val="-1"/>
        </w:rPr>
        <w:t xml:space="preserve"> </w:t>
      </w:r>
      <w:r>
        <w:t>of</w:t>
      </w:r>
      <w:r>
        <w:rPr>
          <w:spacing w:val="-4"/>
        </w:rPr>
        <w:t xml:space="preserve"> </w:t>
      </w:r>
      <w:r>
        <w:rPr>
          <w:spacing w:val="-2"/>
        </w:rPr>
        <w:t>issues</w:t>
      </w:r>
    </w:p>
    <w:p w14:paraId="001DC8F9" w14:textId="77777777" w:rsidR="00161C10" w:rsidRDefault="00CE2C8C">
      <w:pPr>
        <w:spacing w:before="159" w:line="276" w:lineRule="auto"/>
        <w:ind w:left="360" w:right="362"/>
        <w:jc w:val="both"/>
        <w:rPr>
          <w:rFonts w:ascii="Arial" w:hAnsi="Arial"/>
          <w:i/>
          <w:sz w:val="24"/>
        </w:rPr>
      </w:pPr>
      <w:r>
        <w:rPr>
          <w:rFonts w:ascii="Arial" w:hAnsi="Arial"/>
          <w:i/>
          <w:sz w:val="24"/>
        </w:rPr>
        <w:t>The European Union states that if MS “do not fulfill their obligations under EU law, the Commission acts by opening infringement procedures to guarantee that EU law is complied with.”</w:t>
      </w:r>
    </w:p>
    <w:p w14:paraId="11B3A2B8" w14:textId="77777777" w:rsidR="00161C10" w:rsidRDefault="00CE2C8C">
      <w:pPr>
        <w:pStyle w:val="BodyText"/>
        <w:spacing w:before="121" w:line="276" w:lineRule="auto"/>
        <w:ind w:left="360" w:right="354"/>
        <w:jc w:val="both"/>
      </w:pPr>
      <w:r>
        <w:t>To this</w:t>
      </w:r>
      <w:r>
        <w:rPr>
          <w:spacing w:val="-1"/>
        </w:rPr>
        <w:t xml:space="preserve"> </w:t>
      </w:r>
      <w:r>
        <w:t>date, the European Commission has</w:t>
      </w:r>
      <w:r>
        <w:rPr>
          <w:spacing w:val="-1"/>
        </w:rPr>
        <w:t xml:space="preserve"> </w:t>
      </w:r>
      <w:r>
        <w:t>not launched an infringement procedure</w:t>
      </w:r>
      <w:r>
        <w:rPr>
          <w:spacing w:val="-1"/>
        </w:rPr>
        <w:t xml:space="preserve"> </w:t>
      </w:r>
      <w:proofErr w:type="gramStart"/>
      <w:r>
        <w:t>on the basis of</w:t>
      </w:r>
      <w:proofErr w:type="gramEnd"/>
      <w:r>
        <w:t xml:space="preserve"> investments into institutions for disabled people (or the lack of accessibility or monitoring of EU funds, for that matter), despite numerous complaints from ENIL in this regard. On the contrary, in response to</w:t>
      </w:r>
      <w:r>
        <w:rPr>
          <w:spacing w:val="-1"/>
        </w:rPr>
        <w:t xml:space="preserve"> </w:t>
      </w:r>
      <w:r>
        <w:t>our complaints, the Commission has argued that no action can be taken due to the shared management principle.</w:t>
      </w:r>
    </w:p>
    <w:p w14:paraId="33763168" w14:textId="77777777" w:rsidR="00161C10" w:rsidRDefault="00CE2C8C">
      <w:pPr>
        <w:spacing w:before="120" w:line="276" w:lineRule="auto"/>
        <w:ind w:left="360" w:right="354"/>
        <w:jc w:val="both"/>
        <w:rPr>
          <w:rFonts w:ascii="Arial" w:hAnsi="Arial"/>
          <w:i/>
          <w:sz w:val="24"/>
        </w:rPr>
      </w:pPr>
      <w:r>
        <w:rPr>
          <w:sz w:val="24"/>
        </w:rPr>
        <w:t xml:space="preserve">In response to a </w:t>
      </w:r>
      <w:hyperlink r:id="rId31">
        <w:r>
          <w:rPr>
            <w:color w:val="1154CC"/>
            <w:sz w:val="24"/>
            <w:u w:val="single" w:color="1154CC"/>
          </w:rPr>
          <w:t>complaint about the funding of institutions in Austria</w:t>
        </w:r>
      </w:hyperlink>
      <w:r>
        <w:rPr>
          <w:color w:val="1154CC"/>
          <w:sz w:val="24"/>
        </w:rPr>
        <w:t xml:space="preserve"> </w:t>
      </w:r>
      <w:r>
        <w:rPr>
          <w:sz w:val="24"/>
        </w:rPr>
        <w:t>from EU’s agricultural funds, the European Commission stated that “</w:t>
      </w:r>
      <w:r>
        <w:rPr>
          <w:rFonts w:ascii="Arial" w:hAnsi="Arial"/>
          <w:i/>
          <w:sz w:val="24"/>
        </w:rPr>
        <w:t>the selection of operations to be</w:t>
      </w:r>
      <w:r>
        <w:rPr>
          <w:rFonts w:ascii="Arial" w:hAnsi="Arial"/>
          <w:i/>
          <w:spacing w:val="-6"/>
          <w:sz w:val="24"/>
        </w:rPr>
        <w:t xml:space="preserve"> </w:t>
      </w:r>
      <w:r>
        <w:rPr>
          <w:rFonts w:ascii="Arial" w:hAnsi="Arial"/>
          <w:i/>
          <w:sz w:val="24"/>
        </w:rPr>
        <w:t>funded</w:t>
      </w:r>
      <w:r>
        <w:rPr>
          <w:rFonts w:ascii="Arial" w:hAnsi="Arial"/>
          <w:i/>
          <w:spacing w:val="-6"/>
          <w:sz w:val="24"/>
        </w:rPr>
        <w:t xml:space="preserve"> </w:t>
      </w:r>
      <w:r>
        <w:rPr>
          <w:rFonts w:ascii="Arial" w:hAnsi="Arial"/>
          <w:i/>
          <w:sz w:val="24"/>
        </w:rPr>
        <w:t>by</w:t>
      </w:r>
      <w:r>
        <w:rPr>
          <w:rFonts w:ascii="Arial" w:hAnsi="Arial"/>
          <w:i/>
          <w:spacing w:val="-7"/>
          <w:sz w:val="24"/>
        </w:rPr>
        <w:t xml:space="preserve"> </w:t>
      </w:r>
      <w:r>
        <w:rPr>
          <w:rFonts w:ascii="Arial" w:hAnsi="Arial"/>
          <w:i/>
          <w:sz w:val="24"/>
        </w:rPr>
        <w:t>EAFRD</w:t>
      </w:r>
      <w:r>
        <w:rPr>
          <w:rFonts w:ascii="Arial" w:hAnsi="Arial"/>
          <w:i/>
          <w:spacing w:val="-7"/>
          <w:sz w:val="24"/>
        </w:rPr>
        <w:t xml:space="preserve"> </w:t>
      </w:r>
      <w:r>
        <w:rPr>
          <w:rFonts w:ascii="Arial" w:hAnsi="Arial"/>
          <w:i/>
          <w:sz w:val="24"/>
        </w:rPr>
        <w:t>falls</w:t>
      </w:r>
      <w:r>
        <w:rPr>
          <w:rFonts w:ascii="Arial" w:hAnsi="Arial"/>
          <w:i/>
          <w:spacing w:val="-7"/>
          <w:sz w:val="24"/>
        </w:rPr>
        <w:t xml:space="preserve"> </w:t>
      </w:r>
      <w:r>
        <w:rPr>
          <w:rFonts w:ascii="Arial" w:hAnsi="Arial"/>
          <w:i/>
          <w:sz w:val="24"/>
        </w:rPr>
        <w:t>under</w:t>
      </w:r>
      <w:r>
        <w:rPr>
          <w:rFonts w:ascii="Arial" w:hAnsi="Arial"/>
          <w:i/>
          <w:spacing w:val="-7"/>
          <w:sz w:val="24"/>
        </w:rPr>
        <w:t xml:space="preserve"> </w:t>
      </w:r>
      <w:r>
        <w:rPr>
          <w:rFonts w:ascii="Arial" w:hAnsi="Arial"/>
          <w:i/>
          <w:sz w:val="24"/>
        </w:rPr>
        <w:t>the</w:t>
      </w:r>
      <w:r>
        <w:rPr>
          <w:rFonts w:ascii="Arial" w:hAnsi="Arial"/>
          <w:i/>
          <w:spacing w:val="-6"/>
          <w:sz w:val="24"/>
        </w:rPr>
        <w:t xml:space="preserve"> </w:t>
      </w:r>
      <w:r>
        <w:rPr>
          <w:rFonts w:ascii="Arial" w:hAnsi="Arial"/>
          <w:i/>
          <w:sz w:val="24"/>
        </w:rPr>
        <w:t>competence</w:t>
      </w:r>
      <w:r>
        <w:rPr>
          <w:rFonts w:ascii="Arial" w:hAnsi="Arial"/>
          <w:i/>
          <w:spacing w:val="-6"/>
          <w:sz w:val="24"/>
        </w:rPr>
        <w:t xml:space="preserve"> </w:t>
      </w:r>
      <w:r>
        <w:rPr>
          <w:rFonts w:ascii="Arial" w:hAnsi="Arial"/>
          <w:i/>
          <w:sz w:val="24"/>
        </w:rPr>
        <w:t>of</w:t>
      </w:r>
      <w:r>
        <w:rPr>
          <w:rFonts w:ascii="Arial" w:hAnsi="Arial"/>
          <w:i/>
          <w:spacing w:val="-6"/>
          <w:sz w:val="24"/>
        </w:rPr>
        <w:t xml:space="preserve"> </w:t>
      </w:r>
      <w:r>
        <w:rPr>
          <w:rFonts w:ascii="Arial" w:hAnsi="Arial"/>
          <w:i/>
          <w:sz w:val="24"/>
        </w:rPr>
        <w:t>Member</w:t>
      </w:r>
      <w:r>
        <w:rPr>
          <w:rFonts w:ascii="Arial" w:hAnsi="Arial"/>
          <w:i/>
          <w:spacing w:val="-7"/>
          <w:sz w:val="24"/>
        </w:rPr>
        <w:t xml:space="preserve"> </w:t>
      </w:r>
      <w:r>
        <w:rPr>
          <w:rFonts w:ascii="Arial" w:hAnsi="Arial"/>
          <w:i/>
          <w:sz w:val="24"/>
        </w:rPr>
        <w:t>States,</w:t>
      </w:r>
      <w:r>
        <w:rPr>
          <w:rFonts w:ascii="Arial" w:hAnsi="Arial"/>
          <w:i/>
          <w:spacing w:val="-9"/>
          <w:sz w:val="24"/>
        </w:rPr>
        <w:t xml:space="preserve"> </w:t>
      </w:r>
      <w:r>
        <w:rPr>
          <w:rFonts w:ascii="Arial" w:hAnsi="Arial"/>
          <w:i/>
          <w:sz w:val="24"/>
        </w:rPr>
        <w:t>therefore,</w:t>
      </w:r>
      <w:r>
        <w:rPr>
          <w:rFonts w:ascii="Arial" w:hAnsi="Arial"/>
          <w:i/>
          <w:spacing w:val="-6"/>
          <w:sz w:val="24"/>
        </w:rPr>
        <w:t xml:space="preserve"> </w:t>
      </w:r>
      <w:r>
        <w:rPr>
          <w:rFonts w:ascii="Arial" w:hAnsi="Arial"/>
          <w:i/>
          <w:sz w:val="24"/>
        </w:rPr>
        <w:t>this</w:t>
      </w:r>
      <w:r>
        <w:rPr>
          <w:rFonts w:ascii="Arial" w:hAnsi="Arial"/>
          <w:i/>
          <w:spacing w:val="-7"/>
          <w:sz w:val="24"/>
        </w:rPr>
        <w:t xml:space="preserve"> </w:t>
      </w:r>
      <w:r>
        <w:rPr>
          <w:rFonts w:ascii="Arial" w:hAnsi="Arial"/>
          <w:i/>
          <w:sz w:val="24"/>
        </w:rPr>
        <w:t>is</w:t>
      </w:r>
      <w:r>
        <w:rPr>
          <w:rFonts w:ascii="Arial" w:hAnsi="Arial"/>
          <w:i/>
          <w:spacing w:val="-7"/>
          <w:sz w:val="24"/>
        </w:rPr>
        <w:t xml:space="preserve"> </w:t>
      </w:r>
      <w:r>
        <w:rPr>
          <w:rFonts w:ascii="Arial" w:hAnsi="Arial"/>
          <w:i/>
          <w:sz w:val="24"/>
        </w:rPr>
        <w:t xml:space="preserve">not in the Commission’s remit. (…) It </w:t>
      </w:r>
      <w:proofErr w:type="gramStart"/>
      <w:r>
        <w:rPr>
          <w:rFonts w:ascii="Arial" w:hAnsi="Arial"/>
          <w:i/>
          <w:sz w:val="24"/>
        </w:rPr>
        <w:t>has to</w:t>
      </w:r>
      <w:proofErr w:type="gramEnd"/>
      <w:r>
        <w:rPr>
          <w:rFonts w:ascii="Arial" w:hAnsi="Arial"/>
          <w:i/>
          <w:sz w:val="24"/>
        </w:rPr>
        <w:t xml:space="preserve"> be underlined that the mere fact that a given infrastructure has been financed by the Union does not mean that the Member State implements Union law</w:t>
      </w:r>
      <w:r>
        <w:rPr>
          <w:rFonts w:ascii="Arial" w:hAnsi="Arial"/>
          <w:i/>
          <w:spacing w:val="-2"/>
          <w:sz w:val="24"/>
        </w:rPr>
        <w:t xml:space="preserve"> </w:t>
      </w:r>
      <w:r>
        <w:rPr>
          <w:rFonts w:ascii="Arial" w:hAnsi="Arial"/>
          <w:i/>
          <w:sz w:val="24"/>
        </w:rPr>
        <w:t>within the meaning</w:t>
      </w:r>
      <w:r>
        <w:rPr>
          <w:rFonts w:ascii="Arial" w:hAnsi="Arial"/>
          <w:i/>
          <w:spacing w:val="-1"/>
          <w:sz w:val="24"/>
        </w:rPr>
        <w:t xml:space="preserve"> </w:t>
      </w:r>
      <w:r>
        <w:rPr>
          <w:rFonts w:ascii="Arial" w:hAnsi="Arial"/>
          <w:i/>
          <w:sz w:val="24"/>
        </w:rPr>
        <w:t>of</w:t>
      </w:r>
      <w:r>
        <w:rPr>
          <w:rFonts w:ascii="Arial" w:hAnsi="Arial"/>
          <w:i/>
          <w:spacing w:val="-2"/>
          <w:sz w:val="24"/>
        </w:rPr>
        <w:t xml:space="preserve"> </w:t>
      </w:r>
      <w:r>
        <w:rPr>
          <w:rFonts w:ascii="Arial" w:hAnsi="Arial"/>
          <w:i/>
          <w:sz w:val="24"/>
        </w:rPr>
        <w:t>Article 51 of the Charter</w:t>
      </w:r>
      <w:r>
        <w:rPr>
          <w:rFonts w:ascii="Arial" w:hAnsi="Arial"/>
          <w:i/>
          <w:spacing w:val="-1"/>
          <w:sz w:val="24"/>
        </w:rPr>
        <w:t xml:space="preserve"> </w:t>
      </w:r>
      <w:r>
        <w:rPr>
          <w:rFonts w:ascii="Arial" w:hAnsi="Arial"/>
          <w:i/>
          <w:sz w:val="24"/>
        </w:rPr>
        <w:t>also with regard to the establishment using that infrastructure (3). The question whether the operation of such</w:t>
      </w:r>
      <w:r>
        <w:rPr>
          <w:rFonts w:ascii="Arial" w:hAnsi="Arial"/>
          <w:i/>
          <w:spacing w:val="-15"/>
          <w:sz w:val="24"/>
        </w:rPr>
        <w:t xml:space="preserve"> </w:t>
      </w:r>
      <w:r>
        <w:rPr>
          <w:rFonts w:ascii="Arial" w:hAnsi="Arial"/>
          <w:i/>
          <w:sz w:val="24"/>
        </w:rPr>
        <w:t>an</w:t>
      </w:r>
      <w:r>
        <w:rPr>
          <w:rFonts w:ascii="Arial" w:hAnsi="Arial"/>
          <w:i/>
          <w:spacing w:val="-15"/>
          <w:sz w:val="24"/>
        </w:rPr>
        <w:t xml:space="preserve"> </w:t>
      </w:r>
      <w:r>
        <w:rPr>
          <w:rFonts w:ascii="Arial" w:hAnsi="Arial"/>
          <w:i/>
          <w:sz w:val="24"/>
        </w:rPr>
        <w:t>establishment</w:t>
      </w:r>
      <w:r>
        <w:rPr>
          <w:rFonts w:ascii="Arial" w:hAnsi="Arial"/>
          <w:i/>
          <w:spacing w:val="-15"/>
          <w:sz w:val="24"/>
        </w:rPr>
        <w:t xml:space="preserve"> </w:t>
      </w:r>
      <w:r>
        <w:rPr>
          <w:rFonts w:ascii="Arial" w:hAnsi="Arial"/>
          <w:i/>
          <w:sz w:val="24"/>
        </w:rPr>
        <w:t>constitutes</w:t>
      </w:r>
      <w:r>
        <w:rPr>
          <w:rFonts w:ascii="Arial" w:hAnsi="Arial"/>
          <w:i/>
          <w:spacing w:val="-16"/>
          <w:sz w:val="24"/>
        </w:rPr>
        <w:t xml:space="preserve"> </w:t>
      </w:r>
      <w:r>
        <w:rPr>
          <w:rFonts w:ascii="Arial" w:hAnsi="Arial"/>
          <w:i/>
          <w:sz w:val="24"/>
        </w:rPr>
        <w:t>implementation</w:t>
      </w:r>
      <w:r>
        <w:rPr>
          <w:rFonts w:ascii="Arial" w:hAnsi="Arial"/>
          <w:i/>
          <w:spacing w:val="-10"/>
          <w:sz w:val="24"/>
        </w:rPr>
        <w:t xml:space="preserve"> </w:t>
      </w:r>
      <w:r>
        <w:rPr>
          <w:rFonts w:ascii="Arial" w:hAnsi="Arial"/>
          <w:i/>
          <w:sz w:val="24"/>
        </w:rPr>
        <w:t>of</w:t>
      </w:r>
      <w:r>
        <w:rPr>
          <w:rFonts w:ascii="Arial" w:hAnsi="Arial"/>
          <w:i/>
          <w:spacing w:val="-13"/>
          <w:sz w:val="24"/>
        </w:rPr>
        <w:t xml:space="preserve"> </w:t>
      </w:r>
      <w:r>
        <w:rPr>
          <w:rFonts w:ascii="Arial" w:hAnsi="Arial"/>
          <w:i/>
          <w:sz w:val="24"/>
        </w:rPr>
        <w:t>Union</w:t>
      </w:r>
      <w:r>
        <w:rPr>
          <w:rFonts w:ascii="Arial" w:hAnsi="Arial"/>
          <w:i/>
          <w:spacing w:val="-15"/>
          <w:sz w:val="24"/>
        </w:rPr>
        <w:t xml:space="preserve"> </w:t>
      </w:r>
      <w:r>
        <w:rPr>
          <w:rFonts w:ascii="Arial" w:hAnsi="Arial"/>
          <w:i/>
          <w:sz w:val="24"/>
        </w:rPr>
        <w:t>law</w:t>
      </w:r>
      <w:r>
        <w:rPr>
          <w:rFonts w:ascii="Arial" w:hAnsi="Arial"/>
          <w:i/>
          <w:spacing w:val="-14"/>
          <w:sz w:val="24"/>
        </w:rPr>
        <w:t xml:space="preserve"> </w:t>
      </w:r>
      <w:r>
        <w:rPr>
          <w:rFonts w:ascii="Arial" w:hAnsi="Arial"/>
          <w:i/>
          <w:sz w:val="24"/>
        </w:rPr>
        <w:t>within</w:t>
      </w:r>
      <w:r>
        <w:rPr>
          <w:rFonts w:ascii="Arial" w:hAnsi="Arial"/>
          <w:i/>
          <w:spacing w:val="-15"/>
          <w:sz w:val="24"/>
        </w:rPr>
        <w:t xml:space="preserve"> </w:t>
      </w:r>
      <w:r>
        <w:rPr>
          <w:rFonts w:ascii="Arial" w:hAnsi="Arial"/>
          <w:i/>
          <w:sz w:val="24"/>
        </w:rPr>
        <w:t>the</w:t>
      </w:r>
      <w:r>
        <w:rPr>
          <w:rFonts w:ascii="Arial" w:hAnsi="Arial"/>
          <w:i/>
          <w:spacing w:val="-13"/>
          <w:sz w:val="24"/>
        </w:rPr>
        <w:t xml:space="preserve"> </w:t>
      </w:r>
      <w:r>
        <w:rPr>
          <w:rFonts w:ascii="Arial" w:hAnsi="Arial"/>
          <w:i/>
          <w:sz w:val="24"/>
        </w:rPr>
        <w:t>meaning</w:t>
      </w:r>
      <w:r>
        <w:rPr>
          <w:rFonts w:ascii="Arial" w:hAnsi="Arial"/>
          <w:i/>
          <w:spacing w:val="-15"/>
          <w:sz w:val="24"/>
        </w:rPr>
        <w:t xml:space="preserve"> </w:t>
      </w:r>
      <w:r>
        <w:rPr>
          <w:rFonts w:ascii="Arial" w:hAnsi="Arial"/>
          <w:i/>
          <w:sz w:val="24"/>
        </w:rPr>
        <w:t>of</w:t>
      </w:r>
      <w:r>
        <w:rPr>
          <w:rFonts w:ascii="Arial" w:hAnsi="Arial"/>
          <w:i/>
          <w:spacing w:val="-13"/>
          <w:sz w:val="24"/>
        </w:rPr>
        <w:t xml:space="preserve"> </w:t>
      </w:r>
      <w:r>
        <w:rPr>
          <w:rFonts w:ascii="Arial" w:hAnsi="Arial"/>
          <w:i/>
          <w:sz w:val="24"/>
        </w:rPr>
        <w:t>that provision</w:t>
      </w:r>
      <w:r>
        <w:rPr>
          <w:rFonts w:ascii="Arial" w:hAnsi="Arial"/>
          <w:i/>
          <w:spacing w:val="-2"/>
          <w:sz w:val="24"/>
        </w:rPr>
        <w:t xml:space="preserve"> </w:t>
      </w:r>
      <w:r>
        <w:rPr>
          <w:rFonts w:ascii="Arial" w:hAnsi="Arial"/>
          <w:i/>
          <w:sz w:val="24"/>
        </w:rPr>
        <w:t>would</w:t>
      </w:r>
      <w:r>
        <w:rPr>
          <w:rFonts w:ascii="Arial" w:hAnsi="Arial"/>
          <w:i/>
          <w:spacing w:val="-4"/>
          <w:sz w:val="24"/>
        </w:rPr>
        <w:t xml:space="preserve"> </w:t>
      </w:r>
      <w:r>
        <w:rPr>
          <w:rFonts w:ascii="Arial" w:hAnsi="Arial"/>
          <w:i/>
          <w:sz w:val="24"/>
        </w:rPr>
        <w:t>have</w:t>
      </w:r>
      <w:r>
        <w:rPr>
          <w:rFonts w:ascii="Arial" w:hAnsi="Arial"/>
          <w:i/>
          <w:spacing w:val="-4"/>
          <w:sz w:val="24"/>
        </w:rPr>
        <w:t xml:space="preserve"> </w:t>
      </w:r>
      <w:r>
        <w:rPr>
          <w:rFonts w:ascii="Arial" w:hAnsi="Arial"/>
          <w:i/>
          <w:sz w:val="24"/>
        </w:rPr>
        <w:t>to</w:t>
      </w:r>
      <w:r>
        <w:rPr>
          <w:rFonts w:ascii="Arial" w:hAnsi="Arial"/>
          <w:i/>
          <w:spacing w:val="-2"/>
          <w:sz w:val="24"/>
        </w:rPr>
        <w:t xml:space="preserve"> </w:t>
      </w:r>
      <w:r>
        <w:rPr>
          <w:rFonts w:ascii="Arial" w:hAnsi="Arial"/>
          <w:i/>
          <w:sz w:val="24"/>
        </w:rPr>
        <w:t>be</w:t>
      </w:r>
      <w:r>
        <w:rPr>
          <w:rFonts w:ascii="Arial" w:hAnsi="Arial"/>
          <w:i/>
          <w:spacing w:val="-4"/>
          <w:sz w:val="24"/>
        </w:rPr>
        <w:t xml:space="preserve"> </w:t>
      </w:r>
      <w:r>
        <w:rPr>
          <w:rFonts w:ascii="Arial" w:hAnsi="Arial"/>
          <w:i/>
          <w:sz w:val="24"/>
        </w:rPr>
        <w:t>assessed</w:t>
      </w:r>
      <w:r>
        <w:rPr>
          <w:rFonts w:ascii="Arial" w:hAnsi="Arial"/>
          <w:i/>
          <w:spacing w:val="-4"/>
          <w:sz w:val="24"/>
        </w:rPr>
        <w:t xml:space="preserve"> </w:t>
      </w:r>
      <w:r>
        <w:rPr>
          <w:rFonts w:ascii="Arial" w:hAnsi="Arial"/>
          <w:i/>
          <w:sz w:val="24"/>
        </w:rPr>
        <w:t>separately</w:t>
      </w:r>
      <w:r>
        <w:rPr>
          <w:rFonts w:ascii="Arial" w:hAnsi="Arial"/>
          <w:i/>
          <w:spacing w:val="-2"/>
          <w:sz w:val="24"/>
        </w:rPr>
        <w:t xml:space="preserve"> </w:t>
      </w:r>
      <w:r>
        <w:rPr>
          <w:rFonts w:ascii="Arial" w:hAnsi="Arial"/>
          <w:i/>
          <w:sz w:val="24"/>
        </w:rPr>
        <w:t>and</w:t>
      </w:r>
      <w:r>
        <w:rPr>
          <w:rFonts w:ascii="Arial" w:hAnsi="Arial"/>
          <w:i/>
          <w:spacing w:val="-4"/>
          <w:sz w:val="24"/>
        </w:rPr>
        <w:t xml:space="preserve"> </w:t>
      </w:r>
      <w:r>
        <w:rPr>
          <w:rFonts w:ascii="Arial" w:hAnsi="Arial"/>
          <w:i/>
          <w:sz w:val="24"/>
        </w:rPr>
        <w:t>on</w:t>
      </w:r>
      <w:r>
        <w:rPr>
          <w:rFonts w:ascii="Arial" w:hAnsi="Arial"/>
          <w:i/>
          <w:spacing w:val="-4"/>
          <w:sz w:val="24"/>
        </w:rPr>
        <w:t xml:space="preserve"> </w:t>
      </w:r>
      <w:r>
        <w:rPr>
          <w:rFonts w:ascii="Arial" w:hAnsi="Arial"/>
          <w:i/>
          <w:sz w:val="24"/>
        </w:rPr>
        <w:t>its</w:t>
      </w:r>
      <w:r>
        <w:rPr>
          <w:rFonts w:ascii="Arial" w:hAnsi="Arial"/>
          <w:i/>
          <w:spacing w:val="-4"/>
          <w:sz w:val="24"/>
        </w:rPr>
        <w:t xml:space="preserve"> </w:t>
      </w:r>
      <w:r>
        <w:rPr>
          <w:rFonts w:ascii="Arial" w:hAnsi="Arial"/>
          <w:i/>
          <w:sz w:val="24"/>
        </w:rPr>
        <w:t>own</w:t>
      </w:r>
      <w:r>
        <w:rPr>
          <w:rFonts w:ascii="Arial" w:hAnsi="Arial"/>
          <w:i/>
          <w:spacing w:val="-4"/>
          <w:sz w:val="24"/>
        </w:rPr>
        <w:t xml:space="preserve"> </w:t>
      </w:r>
      <w:r>
        <w:rPr>
          <w:rFonts w:ascii="Arial" w:hAnsi="Arial"/>
          <w:i/>
          <w:sz w:val="24"/>
        </w:rPr>
        <w:t>merits,</w:t>
      </w:r>
      <w:r>
        <w:rPr>
          <w:rFonts w:ascii="Arial" w:hAnsi="Arial"/>
          <w:i/>
          <w:spacing w:val="-2"/>
          <w:sz w:val="24"/>
        </w:rPr>
        <w:t xml:space="preserve"> </w:t>
      </w:r>
      <w:r>
        <w:rPr>
          <w:rFonts w:ascii="Arial" w:hAnsi="Arial"/>
          <w:i/>
          <w:sz w:val="24"/>
        </w:rPr>
        <w:t>in</w:t>
      </w:r>
      <w:r>
        <w:rPr>
          <w:rFonts w:ascii="Arial" w:hAnsi="Arial"/>
          <w:i/>
          <w:spacing w:val="-4"/>
          <w:sz w:val="24"/>
        </w:rPr>
        <w:t xml:space="preserve"> </w:t>
      </w:r>
      <w:r>
        <w:rPr>
          <w:rFonts w:ascii="Arial" w:hAnsi="Arial"/>
          <w:i/>
          <w:sz w:val="24"/>
        </w:rPr>
        <w:t>the</w:t>
      </w:r>
      <w:r>
        <w:rPr>
          <w:rFonts w:ascii="Arial" w:hAnsi="Arial"/>
          <w:i/>
          <w:spacing w:val="-4"/>
          <w:sz w:val="24"/>
        </w:rPr>
        <w:t xml:space="preserve"> </w:t>
      </w:r>
      <w:r>
        <w:rPr>
          <w:rFonts w:ascii="Arial" w:hAnsi="Arial"/>
          <w:i/>
          <w:sz w:val="24"/>
        </w:rPr>
        <w:t>light</w:t>
      </w:r>
      <w:r>
        <w:rPr>
          <w:rFonts w:ascii="Arial" w:hAnsi="Arial"/>
          <w:i/>
          <w:spacing w:val="-4"/>
          <w:sz w:val="24"/>
        </w:rPr>
        <w:t xml:space="preserve"> </w:t>
      </w:r>
      <w:r>
        <w:rPr>
          <w:rFonts w:ascii="Arial" w:hAnsi="Arial"/>
          <w:i/>
          <w:sz w:val="24"/>
        </w:rPr>
        <w:t>of</w:t>
      </w:r>
      <w:r>
        <w:rPr>
          <w:rFonts w:ascii="Arial" w:hAnsi="Arial"/>
          <w:i/>
          <w:spacing w:val="-6"/>
          <w:sz w:val="24"/>
        </w:rPr>
        <w:t xml:space="preserve"> </w:t>
      </w:r>
      <w:r>
        <w:rPr>
          <w:rFonts w:ascii="Arial" w:hAnsi="Arial"/>
          <w:i/>
          <w:sz w:val="24"/>
        </w:rPr>
        <w:t>any normative or functional</w:t>
      </w:r>
      <w:r>
        <w:rPr>
          <w:rFonts w:ascii="Arial" w:hAnsi="Arial"/>
          <w:i/>
          <w:spacing w:val="-1"/>
          <w:sz w:val="24"/>
        </w:rPr>
        <w:t xml:space="preserve"> </w:t>
      </w:r>
      <w:r>
        <w:rPr>
          <w:rFonts w:ascii="Arial" w:hAnsi="Arial"/>
          <w:i/>
          <w:sz w:val="24"/>
        </w:rPr>
        <w:t>connection between that operation and provisions of Union law.” (see Annex II for the full response)</w:t>
      </w:r>
    </w:p>
    <w:p w14:paraId="58522C57" w14:textId="77777777" w:rsidR="00161C10" w:rsidRDefault="00161C10">
      <w:pPr>
        <w:spacing w:line="276" w:lineRule="auto"/>
        <w:jc w:val="both"/>
        <w:rPr>
          <w:rFonts w:ascii="Arial" w:hAnsi="Arial"/>
          <w:i/>
          <w:sz w:val="24"/>
        </w:rPr>
        <w:sectPr w:rsidR="00161C10">
          <w:pgSz w:w="12240" w:h="15840"/>
          <w:pgMar w:top="1360" w:right="1080" w:bottom="1540" w:left="1080" w:header="0" w:footer="1274" w:gutter="0"/>
          <w:cols w:space="720"/>
        </w:sectPr>
      </w:pPr>
    </w:p>
    <w:p w14:paraId="637BF58C" w14:textId="77777777" w:rsidR="00161C10" w:rsidRDefault="00CE2C8C">
      <w:pPr>
        <w:spacing w:before="81" w:line="276" w:lineRule="auto"/>
        <w:ind w:left="360" w:right="356"/>
        <w:jc w:val="both"/>
        <w:rPr>
          <w:sz w:val="24"/>
        </w:rPr>
      </w:pPr>
      <w:r>
        <w:rPr>
          <w:sz w:val="24"/>
        </w:rPr>
        <w:lastRenderedPageBreak/>
        <w:t>ENIL</w:t>
      </w:r>
      <w:r>
        <w:rPr>
          <w:spacing w:val="-6"/>
          <w:sz w:val="24"/>
        </w:rPr>
        <w:t xml:space="preserve"> </w:t>
      </w:r>
      <w:r>
        <w:rPr>
          <w:sz w:val="24"/>
        </w:rPr>
        <w:t>has</w:t>
      </w:r>
      <w:r>
        <w:rPr>
          <w:spacing w:val="-6"/>
          <w:sz w:val="24"/>
        </w:rPr>
        <w:t xml:space="preserve"> </w:t>
      </w:r>
      <w:r>
        <w:rPr>
          <w:sz w:val="24"/>
        </w:rPr>
        <w:t>contested</w:t>
      </w:r>
      <w:r>
        <w:rPr>
          <w:spacing w:val="-8"/>
          <w:sz w:val="24"/>
        </w:rPr>
        <w:t xml:space="preserve"> </w:t>
      </w:r>
      <w:r>
        <w:rPr>
          <w:sz w:val="24"/>
        </w:rPr>
        <w:t>this</w:t>
      </w:r>
      <w:r>
        <w:rPr>
          <w:spacing w:val="-6"/>
          <w:sz w:val="24"/>
        </w:rPr>
        <w:t xml:space="preserve"> </w:t>
      </w:r>
      <w:r>
        <w:rPr>
          <w:sz w:val="24"/>
        </w:rPr>
        <w:t>position</w:t>
      </w:r>
      <w:r>
        <w:rPr>
          <w:spacing w:val="-6"/>
          <w:sz w:val="24"/>
        </w:rPr>
        <w:t xml:space="preserve"> </w:t>
      </w:r>
      <w:r>
        <w:rPr>
          <w:sz w:val="24"/>
        </w:rPr>
        <w:t>in</w:t>
      </w:r>
      <w:r>
        <w:rPr>
          <w:spacing w:val="-6"/>
          <w:sz w:val="24"/>
        </w:rPr>
        <w:t xml:space="preserve"> </w:t>
      </w:r>
      <w:r>
        <w:rPr>
          <w:sz w:val="24"/>
        </w:rPr>
        <w:t>light</w:t>
      </w:r>
      <w:r>
        <w:rPr>
          <w:spacing w:val="-8"/>
          <w:sz w:val="24"/>
        </w:rPr>
        <w:t xml:space="preserve"> </w:t>
      </w:r>
      <w:r>
        <w:rPr>
          <w:sz w:val="24"/>
        </w:rPr>
        <w:t>of</w:t>
      </w:r>
      <w:r>
        <w:rPr>
          <w:spacing w:val="-6"/>
          <w:sz w:val="24"/>
        </w:rPr>
        <w:t xml:space="preserve"> </w:t>
      </w:r>
      <w:r>
        <w:rPr>
          <w:sz w:val="24"/>
        </w:rPr>
        <w:t>the</w:t>
      </w:r>
      <w:r>
        <w:rPr>
          <w:spacing w:val="-8"/>
          <w:sz w:val="24"/>
        </w:rPr>
        <w:t xml:space="preserve"> </w:t>
      </w:r>
      <w:r>
        <w:rPr>
          <w:sz w:val="24"/>
        </w:rPr>
        <w:t>European</w:t>
      </w:r>
      <w:r>
        <w:rPr>
          <w:spacing w:val="-6"/>
          <w:sz w:val="24"/>
        </w:rPr>
        <w:t xml:space="preserve"> </w:t>
      </w:r>
      <w:r>
        <w:rPr>
          <w:sz w:val="24"/>
        </w:rPr>
        <w:t>Commission’s</w:t>
      </w:r>
      <w:r>
        <w:rPr>
          <w:spacing w:val="-7"/>
          <w:sz w:val="24"/>
        </w:rPr>
        <w:t xml:space="preserve"> </w:t>
      </w:r>
      <w:r>
        <w:rPr>
          <w:sz w:val="24"/>
        </w:rPr>
        <w:t xml:space="preserve">notice: </w:t>
      </w:r>
      <w:hyperlink r:id="rId32">
        <w:r>
          <w:rPr>
            <w:color w:val="1154CC"/>
            <w:sz w:val="24"/>
            <w:u w:val="single" w:color="1154CC"/>
          </w:rPr>
          <w:t>Guidance</w:t>
        </w:r>
      </w:hyperlink>
      <w:r>
        <w:rPr>
          <w:color w:val="1154CC"/>
          <w:sz w:val="24"/>
        </w:rPr>
        <w:t xml:space="preserve"> </w:t>
      </w:r>
      <w:hyperlink r:id="rId33">
        <w:r>
          <w:rPr>
            <w:color w:val="1154CC"/>
            <w:sz w:val="24"/>
            <w:u w:val="single" w:color="1154CC"/>
          </w:rPr>
          <w:t>on ensuring the respect for the Charter of Fundamental Rights of the European Union</w:t>
        </w:r>
      </w:hyperlink>
      <w:r>
        <w:rPr>
          <w:color w:val="1154CC"/>
          <w:sz w:val="24"/>
        </w:rPr>
        <w:t xml:space="preserve"> </w:t>
      </w:r>
      <w:hyperlink r:id="rId34">
        <w:r>
          <w:rPr>
            <w:color w:val="1154CC"/>
            <w:sz w:val="24"/>
            <w:u w:val="single" w:color="1154CC"/>
          </w:rPr>
          <w:t>when implementing ESIF, C/2016/4384</w:t>
        </w:r>
      </w:hyperlink>
      <w:r>
        <w:rPr>
          <w:sz w:val="24"/>
        </w:rPr>
        <w:t xml:space="preserve">. This notice states that </w:t>
      </w:r>
      <w:r>
        <w:rPr>
          <w:rFonts w:ascii="Arial" w:hAnsi="Arial"/>
          <w:i/>
          <w:sz w:val="24"/>
        </w:rPr>
        <w:t xml:space="preserve">“in the context of the implementation of the ESIF, all the Member States' actions undertaken for the implementation of the applicable regulations fall within the scope of EU law.” </w:t>
      </w:r>
      <w:r>
        <w:rPr>
          <w:sz w:val="24"/>
        </w:rPr>
        <w:t>The notice further explains which specific situations fit the conditions of Article 51 of the Charter; here, implementation by the national authorities is specifically mentioned, particularly regarding non-discrimination and the integration</w:t>
      </w:r>
      <w:hyperlink w:anchor="_bookmark3" w:history="1">
        <w:r>
          <w:rPr>
            <w:position w:val="8"/>
            <w:sz w:val="16"/>
          </w:rPr>
          <w:t>4</w:t>
        </w:r>
      </w:hyperlink>
      <w:r>
        <w:rPr>
          <w:spacing w:val="40"/>
          <w:position w:val="8"/>
          <w:sz w:val="16"/>
        </w:rPr>
        <w:t xml:space="preserve"> </w:t>
      </w:r>
      <w:r>
        <w:rPr>
          <w:sz w:val="24"/>
        </w:rPr>
        <w:t>of disabled people.</w:t>
      </w:r>
    </w:p>
    <w:p w14:paraId="2587E3F0" w14:textId="77777777" w:rsidR="00161C10" w:rsidRDefault="00CE2C8C">
      <w:pPr>
        <w:spacing w:before="115"/>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69402D20" w14:textId="77777777" w:rsidR="00161C10" w:rsidRDefault="00CE2C8C">
      <w:pPr>
        <w:pStyle w:val="BodyText"/>
        <w:spacing w:before="1"/>
        <w:rPr>
          <w:rFonts w:ascii="Arial"/>
          <w:b/>
          <w:i/>
          <w:sz w:val="12"/>
        </w:rPr>
      </w:pPr>
      <w:r>
        <w:rPr>
          <w:rFonts w:ascii="Arial"/>
          <w:b/>
          <w:i/>
          <w:noProof/>
          <w:sz w:val="12"/>
        </w:rPr>
        <mc:AlternateContent>
          <mc:Choice Requires="wps">
            <w:drawing>
              <wp:anchor distT="0" distB="0" distL="0" distR="0" simplePos="0" relativeHeight="487591424" behindDoc="1" locked="0" layoutInCell="1" allowOverlap="1" wp14:anchorId="520F3669" wp14:editId="2CA72AFE">
                <wp:simplePos x="0" y="0"/>
                <wp:positionH relativeFrom="page">
                  <wp:posOffset>843076</wp:posOffset>
                </wp:positionH>
                <wp:positionV relativeFrom="paragraph">
                  <wp:posOffset>106856</wp:posOffset>
                </wp:positionV>
                <wp:extent cx="6088380" cy="63436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634365"/>
                        </a:xfrm>
                        <a:prstGeom prst="rect">
                          <a:avLst/>
                        </a:prstGeom>
                        <a:ln w="6095">
                          <a:solidFill>
                            <a:srgbClr val="000000"/>
                          </a:solidFill>
                          <a:prstDash val="solid"/>
                        </a:ln>
                      </wps:spPr>
                      <wps:txbx>
                        <w:txbxContent>
                          <w:p w14:paraId="7B77C383" w14:textId="77777777" w:rsidR="00161C10" w:rsidRDefault="00CE2C8C">
                            <w:pPr>
                              <w:spacing w:before="19" w:line="276" w:lineRule="auto"/>
                              <w:ind w:left="108" w:right="112"/>
                              <w:jc w:val="both"/>
                              <w:rPr>
                                <w:rFonts w:ascii="Arial"/>
                                <w:b/>
                                <w:sz w:val="24"/>
                              </w:rPr>
                            </w:pPr>
                            <w:r>
                              <w:rPr>
                                <w:rFonts w:ascii="Arial"/>
                                <w:b/>
                                <w:sz w:val="24"/>
                              </w:rPr>
                              <w:t>The Committee recommends that the EU makes effective use of the infringement procedure in cases of misuse of EU funds in violation of the UNCRPD and the EU Charter of Fundamental Rights.</w:t>
                            </w:r>
                          </w:p>
                        </w:txbxContent>
                      </wps:txbx>
                      <wps:bodyPr wrap="square" lIns="0" tIns="0" rIns="0" bIns="0" rtlCol="0">
                        <a:noAutofit/>
                      </wps:bodyPr>
                    </wps:wsp>
                  </a:graphicData>
                </a:graphic>
              </wp:anchor>
            </w:drawing>
          </mc:Choice>
          <mc:Fallback>
            <w:pict>
              <v:shape w14:anchorId="520F3669" id="Textbox 14" o:spid="_x0000_s1034" type="#_x0000_t202" style="position:absolute;margin-left:66.4pt;margin-top:8.4pt;width:479.4pt;height:49.9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" filled="f" strokeweight=".16931mm">
                <v:path arrowok="t"/>
                <v:textbox inset="0,0,0,0">
                  <w:txbxContent>
                    <w:p w14:paraId="7B77C383" w14:textId="77777777" w:rsidR="00161C10" w:rsidRDefault="00CE2C8C">
                      <w:pPr>
                        <w:spacing w:before="19" w:line="276" w:lineRule="auto"/>
                        <w:ind w:left="108" w:right="112"/>
                        <w:jc w:val="both"/>
                        <w:rPr>
                          <w:rFonts w:ascii="Arial"/>
                          <w:b/>
                          <w:sz w:val="24"/>
                        </w:rPr>
                      </w:pPr>
                      <w:r>
                        <w:rPr>
                          <w:rFonts w:ascii="Arial"/>
                          <w:b/>
                          <w:sz w:val="24"/>
                        </w:rPr>
                        <w:t>The Committee recommends that the EU makes effective use of the infringement procedure in cases of misuse of EU funds in violation of the UNCRPD and the EU Charter of Fundamental Rights.</w:t>
                      </w:r>
                    </w:p>
                  </w:txbxContent>
                </v:textbox>
                <w10:wrap type="topAndBottom" anchorx="page"/>
              </v:shape>
            </w:pict>
          </mc:Fallback>
        </mc:AlternateContent>
      </w:r>
    </w:p>
    <w:p w14:paraId="5E1014A4" w14:textId="77777777" w:rsidR="00161C10" w:rsidRDefault="00CE2C8C">
      <w:pPr>
        <w:pStyle w:val="Heading4"/>
        <w:numPr>
          <w:ilvl w:val="1"/>
          <w:numId w:val="11"/>
        </w:numPr>
        <w:tabs>
          <w:tab w:val="left" w:pos="1073"/>
        </w:tabs>
        <w:spacing w:before="248"/>
        <w:ind w:hanging="355"/>
        <w:jc w:val="left"/>
      </w:pPr>
      <w:r>
        <w:t>Reply</w:t>
      </w:r>
      <w:r>
        <w:rPr>
          <w:spacing w:val="-2"/>
        </w:rPr>
        <w:t xml:space="preserve"> </w:t>
      </w:r>
      <w:r>
        <w:t>to</w:t>
      </w:r>
      <w:r>
        <w:rPr>
          <w:spacing w:val="-2"/>
        </w:rPr>
        <w:t xml:space="preserve"> </w:t>
      </w:r>
      <w:r>
        <w:t>issues</w:t>
      </w:r>
      <w:r>
        <w:rPr>
          <w:spacing w:val="-3"/>
        </w:rPr>
        <w:t xml:space="preserve"> </w:t>
      </w:r>
      <w:r>
        <w:t>raised</w:t>
      </w:r>
      <w:r>
        <w:rPr>
          <w:spacing w:val="-2"/>
        </w:rPr>
        <w:t xml:space="preserve"> </w:t>
      </w:r>
      <w:r>
        <w:t>in</w:t>
      </w:r>
      <w:r>
        <w:rPr>
          <w:spacing w:val="1"/>
        </w:rPr>
        <w:t xml:space="preserve"> </w:t>
      </w:r>
      <w:r>
        <w:t>paragraph</w:t>
      </w:r>
      <w:r>
        <w:rPr>
          <w:spacing w:val="-2"/>
        </w:rPr>
        <w:t xml:space="preserve"> </w:t>
      </w:r>
      <w:r>
        <w:t>4</w:t>
      </w:r>
      <w:r>
        <w:rPr>
          <w:spacing w:val="-1"/>
        </w:rPr>
        <w:t xml:space="preserve"> </w:t>
      </w:r>
      <w:r>
        <w:t>of</w:t>
      </w:r>
      <w:r>
        <w:rPr>
          <w:spacing w:val="-2"/>
        </w:rPr>
        <w:t xml:space="preserve"> </w:t>
      </w:r>
      <w:r>
        <w:t>the</w:t>
      </w:r>
      <w:r>
        <w:rPr>
          <w:spacing w:val="-2"/>
        </w:rPr>
        <w:t xml:space="preserve"> </w:t>
      </w:r>
      <w:r>
        <w:t>list</w:t>
      </w:r>
      <w:r>
        <w:rPr>
          <w:spacing w:val="-1"/>
        </w:rPr>
        <w:t xml:space="preserve"> </w:t>
      </w:r>
      <w:r>
        <w:t>of</w:t>
      </w:r>
      <w:r>
        <w:rPr>
          <w:spacing w:val="-4"/>
        </w:rPr>
        <w:t xml:space="preserve"> </w:t>
      </w:r>
      <w:r>
        <w:rPr>
          <w:spacing w:val="-2"/>
        </w:rPr>
        <w:t>issues</w:t>
      </w:r>
    </w:p>
    <w:p w14:paraId="29F4C6A0" w14:textId="77777777" w:rsidR="00161C10" w:rsidRDefault="00CE2C8C">
      <w:pPr>
        <w:spacing w:before="159" w:line="276" w:lineRule="auto"/>
        <w:ind w:left="360" w:right="355"/>
        <w:jc w:val="both"/>
        <w:rPr>
          <w:rFonts w:ascii="Arial" w:hAnsi="Arial"/>
          <w:i/>
          <w:sz w:val="24"/>
        </w:rPr>
      </w:pPr>
      <w:r>
        <w:rPr>
          <w:rFonts w:ascii="Arial" w:hAnsi="Arial"/>
          <w:i/>
          <w:sz w:val="24"/>
        </w:rPr>
        <w:t>The</w:t>
      </w:r>
      <w:r>
        <w:rPr>
          <w:rFonts w:ascii="Arial" w:hAnsi="Arial"/>
          <w:i/>
          <w:spacing w:val="-17"/>
          <w:sz w:val="24"/>
        </w:rPr>
        <w:t xml:space="preserve"> </w:t>
      </w:r>
      <w:r>
        <w:rPr>
          <w:rFonts w:ascii="Arial" w:hAnsi="Arial"/>
          <w:i/>
          <w:sz w:val="24"/>
        </w:rPr>
        <w:t>European</w:t>
      </w:r>
      <w:r>
        <w:rPr>
          <w:rFonts w:ascii="Arial" w:hAnsi="Arial"/>
          <w:i/>
          <w:spacing w:val="-17"/>
          <w:sz w:val="24"/>
        </w:rPr>
        <w:t xml:space="preserve"> </w:t>
      </w:r>
      <w:r>
        <w:rPr>
          <w:rFonts w:ascii="Arial" w:hAnsi="Arial"/>
          <w:i/>
          <w:sz w:val="24"/>
        </w:rPr>
        <w:t>Union</w:t>
      </w:r>
      <w:r>
        <w:rPr>
          <w:rFonts w:ascii="Arial" w:hAnsi="Arial"/>
          <w:i/>
          <w:spacing w:val="-16"/>
          <w:sz w:val="24"/>
        </w:rPr>
        <w:t xml:space="preserve"> </w:t>
      </w:r>
      <w:r>
        <w:rPr>
          <w:rFonts w:ascii="Arial" w:hAnsi="Arial"/>
          <w:i/>
          <w:sz w:val="24"/>
        </w:rPr>
        <w:t>states</w:t>
      </w:r>
      <w:r>
        <w:rPr>
          <w:rFonts w:ascii="Arial" w:hAnsi="Arial"/>
          <w:i/>
          <w:spacing w:val="-17"/>
          <w:sz w:val="24"/>
        </w:rPr>
        <w:t xml:space="preserve"> </w:t>
      </w:r>
      <w:r>
        <w:rPr>
          <w:rFonts w:ascii="Arial" w:hAnsi="Arial"/>
          <w:i/>
          <w:sz w:val="24"/>
        </w:rPr>
        <w:t>that</w:t>
      </w:r>
      <w:r>
        <w:rPr>
          <w:rFonts w:ascii="Arial" w:hAnsi="Arial"/>
          <w:i/>
          <w:spacing w:val="-17"/>
          <w:sz w:val="24"/>
        </w:rPr>
        <w:t xml:space="preserve"> </w:t>
      </w:r>
      <w:r>
        <w:rPr>
          <w:rFonts w:ascii="Arial" w:hAnsi="Arial"/>
          <w:i/>
          <w:sz w:val="24"/>
        </w:rPr>
        <w:t>“the</w:t>
      </w:r>
      <w:r>
        <w:rPr>
          <w:rFonts w:ascii="Arial" w:hAnsi="Arial"/>
          <w:i/>
          <w:spacing w:val="-17"/>
          <w:sz w:val="24"/>
        </w:rPr>
        <w:t xml:space="preserve"> </w:t>
      </w:r>
      <w:r>
        <w:rPr>
          <w:rFonts w:ascii="Arial" w:hAnsi="Arial"/>
          <w:i/>
          <w:sz w:val="24"/>
        </w:rPr>
        <w:t>budgetary</w:t>
      </w:r>
      <w:r>
        <w:rPr>
          <w:rFonts w:ascii="Arial" w:hAnsi="Arial"/>
          <w:i/>
          <w:spacing w:val="-16"/>
          <w:sz w:val="24"/>
        </w:rPr>
        <w:t xml:space="preserve"> </w:t>
      </w:r>
      <w:r>
        <w:rPr>
          <w:rFonts w:ascii="Arial" w:hAnsi="Arial"/>
          <w:i/>
          <w:sz w:val="24"/>
        </w:rPr>
        <w:t>procedure</w:t>
      </w:r>
      <w:r>
        <w:rPr>
          <w:rFonts w:ascii="Arial" w:hAnsi="Arial"/>
          <w:i/>
          <w:spacing w:val="-17"/>
          <w:sz w:val="24"/>
        </w:rPr>
        <w:t xml:space="preserve"> </w:t>
      </w:r>
      <w:r>
        <w:rPr>
          <w:rFonts w:ascii="Arial" w:hAnsi="Arial"/>
          <w:i/>
          <w:sz w:val="24"/>
        </w:rPr>
        <w:t>is</w:t>
      </w:r>
      <w:r>
        <w:rPr>
          <w:rFonts w:ascii="Arial" w:hAnsi="Arial"/>
          <w:i/>
          <w:spacing w:val="-17"/>
          <w:sz w:val="24"/>
        </w:rPr>
        <w:t xml:space="preserve"> </w:t>
      </w:r>
      <w:r>
        <w:rPr>
          <w:rFonts w:ascii="Arial" w:hAnsi="Arial"/>
          <w:i/>
          <w:sz w:val="24"/>
        </w:rPr>
        <w:t>strictly</w:t>
      </w:r>
      <w:r>
        <w:rPr>
          <w:rFonts w:ascii="Arial" w:hAnsi="Arial"/>
          <w:i/>
          <w:spacing w:val="-16"/>
          <w:sz w:val="24"/>
        </w:rPr>
        <w:t xml:space="preserve"> </w:t>
      </w:r>
      <w:r>
        <w:rPr>
          <w:rFonts w:ascii="Arial" w:hAnsi="Arial"/>
          <w:i/>
          <w:sz w:val="24"/>
        </w:rPr>
        <w:t>inter-institutional,</w:t>
      </w:r>
      <w:r>
        <w:rPr>
          <w:rFonts w:ascii="Arial" w:hAnsi="Arial"/>
          <w:i/>
          <w:spacing w:val="-17"/>
          <w:sz w:val="24"/>
        </w:rPr>
        <w:t xml:space="preserve"> </w:t>
      </w:r>
      <w:r>
        <w:rPr>
          <w:rFonts w:ascii="Arial" w:hAnsi="Arial"/>
          <w:i/>
          <w:sz w:val="24"/>
        </w:rPr>
        <w:t>with no</w:t>
      </w:r>
      <w:r>
        <w:rPr>
          <w:rFonts w:ascii="Arial" w:hAnsi="Arial"/>
          <w:i/>
          <w:spacing w:val="-2"/>
          <w:sz w:val="24"/>
        </w:rPr>
        <w:t xml:space="preserve"> </w:t>
      </w:r>
      <w:r>
        <w:rPr>
          <w:rFonts w:ascii="Arial" w:hAnsi="Arial"/>
          <w:i/>
          <w:sz w:val="24"/>
        </w:rPr>
        <w:t>involvement</w:t>
      </w:r>
      <w:r>
        <w:rPr>
          <w:rFonts w:ascii="Arial" w:hAnsi="Arial"/>
          <w:i/>
          <w:spacing w:val="-2"/>
          <w:sz w:val="24"/>
        </w:rPr>
        <w:t xml:space="preserve"> </w:t>
      </w:r>
      <w:r>
        <w:rPr>
          <w:rFonts w:ascii="Arial" w:hAnsi="Arial"/>
          <w:i/>
          <w:sz w:val="24"/>
        </w:rPr>
        <w:t>of</w:t>
      </w:r>
      <w:r>
        <w:rPr>
          <w:rFonts w:ascii="Arial" w:hAnsi="Arial"/>
          <w:i/>
          <w:spacing w:val="-2"/>
          <w:sz w:val="24"/>
        </w:rPr>
        <w:t xml:space="preserve"> </w:t>
      </w:r>
      <w:r>
        <w:rPr>
          <w:rFonts w:ascii="Arial" w:hAnsi="Arial"/>
          <w:i/>
          <w:sz w:val="24"/>
        </w:rPr>
        <w:t>external</w:t>
      </w:r>
      <w:r>
        <w:rPr>
          <w:rFonts w:ascii="Arial" w:hAnsi="Arial"/>
          <w:i/>
          <w:spacing w:val="-2"/>
          <w:sz w:val="24"/>
        </w:rPr>
        <w:t xml:space="preserve"> </w:t>
      </w:r>
      <w:r>
        <w:rPr>
          <w:rFonts w:ascii="Arial" w:hAnsi="Arial"/>
          <w:i/>
          <w:sz w:val="24"/>
        </w:rPr>
        <w:t>groups.</w:t>
      </w:r>
      <w:r>
        <w:rPr>
          <w:rFonts w:ascii="Arial" w:hAnsi="Arial"/>
          <w:i/>
          <w:spacing w:val="-2"/>
          <w:sz w:val="24"/>
        </w:rPr>
        <w:t xml:space="preserve"> </w:t>
      </w:r>
      <w:r>
        <w:rPr>
          <w:rFonts w:ascii="Arial" w:hAnsi="Arial"/>
          <w:i/>
          <w:sz w:val="24"/>
        </w:rPr>
        <w:t>However,</w:t>
      </w:r>
      <w:r>
        <w:rPr>
          <w:rFonts w:ascii="Arial" w:hAnsi="Arial"/>
          <w:i/>
          <w:spacing w:val="-5"/>
          <w:sz w:val="24"/>
        </w:rPr>
        <w:t xml:space="preserve"> </w:t>
      </w:r>
      <w:r>
        <w:rPr>
          <w:rFonts w:ascii="Arial" w:hAnsi="Arial"/>
          <w:i/>
          <w:sz w:val="24"/>
        </w:rPr>
        <w:t>persons</w:t>
      </w:r>
      <w:r>
        <w:rPr>
          <w:rFonts w:ascii="Arial" w:hAnsi="Arial"/>
          <w:i/>
          <w:spacing w:val="-2"/>
          <w:sz w:val="24"/>
        </w:rPr>
        <w:t xml:space="preserve"> </w:t>
      </w:r>
      <w:r>
        <w:rPr>
          <w:rFonts w:ascii="Arial" w:hAnsi="Arial"/>
          <w:i/>
          <w:sz w:val="24"/>
        </w:rPr>
        <w:t>with</w:t>
      </w:r>
      <w:r>
        <w:rPr>
          <w:rFonts w:ascii="Arial" w:hAnsi="Arial"/>
          <w:i/>
          <w:spacing w:val="-4"/>
          <w:sz w:val="24"/>
        </w:rPr>
        <w:t xml:space="preserve"> </w:t>
      </w:r>
      <w:r>
        <w:rPr>
          <w:rFonts w:ascii="Arial" w:hAnsi="Arial"/>
          <w:i/>
          <w:sz w:val="24"/>
        </w:rPr>
        <w:t>disabilities</w:t>
      </w:r>
      <w:r>
        <w:rPr>
          <w:rFonts w:ascii="Arial" w:hAnsi="Arial"/>
          <w:i/>
          <w:spacing w:val="-2"/>
          <w:sz w:val="24"/>
        </w:rPr>
        <w:t xml:space="preserve"> </w:t>
      </w:r>
      <w:r>
        <w:rPr>
          <w:rFonts w:ascii="Arial" w:hAnsi="Arial"/>
          <w:i/>
          <w:sz w:val="24"/>
        </w:rPr>
        <w:t>are</w:t>
      </w:r>
      <w:r>
        <w:rPr>
          <w:rFonts w:ascii="Arial" w:hAnsi="Arial"/>
          <w:i/>
          <w:spacing w:val="-2"/>
          <w:sz w:val="24"/>
        </w:rPr>
        <w:t xml:space="preserve"> </w:t>
      </w:r>
      <w:r>
        <w:rPr>
          <w:rFonts w:ascii="Arial" w:hAnsi="Arial"/>
          <w:i/>
          <w:sz w:val="24"/>
        </w:rPr>
        <w:t>involved</w:t>
      </w:r>
      <w:r>
        <w:rPr>
          <w:rFonts w:ascii="Arial" w:hAnsi="Arial"/>
          <w:i/>
          <w:spacing w:val="-1"/>
          <w:sz w:val="24"/>
        </w:rPr>
        <w:t xml:space="preserve"> </w:t>
      </w:r>
      <w:r>
        <w:rPr>
          <w:rFonts w:ascii="Arial" w:hAnsi="Arial"/>
          <w:i/>
          <w:sz w:val="24"/>
        </w:rPr>
        <w:t>in</w:t>
      </w:r>
      <w:r>
        <w:rPr>
          <w:rFonts w:ascii="Arial" w:hAnsi="Arial"/>
          <w:i/>
          <w:spacing w:val="-4"/>
          <w:sz w:val="24"/>
        </w:rPr>
        <w:t xml:space="preserve"> </w:t>
      </w:r>
      <w:r>
        <w:rPr>
          <w:rFonts w:ascii="Arial" w:hAnsi="Arial"/>
          <w:i/>
          <w:sz w:val="24"/>
        </w:rPr>
        <w:t xml:space="preserve">the preparation and implementation of some </w:t>
      </w:r>
      <w:proofErr w:type="spellStart"/>
      <w:r>
        <w:rPr>
          <w:rFonts w:ascii="Arial" w:hAnsi="Arial"/>
          <w:i/>
          <w:sz w:val="24"/>
        </w:rPr>
        <w:t>programmes</w:t>
      </w:r>
      <w:proofErr w:type="spellEnd"/>
      <w:r>
        <w:rPr>
          <w:rFonts w:ascii="Arial" w:hAnsi="Arial"/>
          <w:i/>
          <w:sz w:val="24"/>
        </w:rPr>
        <w:t>.” It adds that “the rules governing cohesion funds (e.g. ERDF and ESF+) contain various requirements in support of the rights</w:t>
      </w:r>
      <w:r>
        <w:rPr>
          <w:rFonts w:ascii="Arial" w:hAnsi="Arial"/>
          <w:i/>
          <w:spacing w:val="-17"/>
          <w:sz w:val="24"/>
        </w:rPr>
        <w:t xml:space="preserve"> </w:t>
      </w:r>
      <w:r>
        <w:rPr>
          <w:rFonts w:ascii="Arial" w:hAnsi="Arial"/>
          <w:i/>
          <w:sz w:val="24"/>
        </w:rPr>
        <w:t>of</w:t>
      </w:r>
      <w:r>
        <w:rPr>
          <w:rFonts w:ascii="Arial" w:hAnsi="Arial"/>
          <w:i/>
          <w:spacing w:val="-15"/>
          <w:sz w:val="24"/>
        </w:rPr>
        <w:t xml:space="preserve"> </w:t>
      </w:r>
      <w:r>
        <w:rPr>
          <w:rFonts w:ascii="Arial" w:hAnsi="Arial"/>
          <w:i/>
          <w:sz w:val="24"/>
        </w:rPr>
        <w:t>persons</w:t>
      </w:r>
      <w:r>
        <w:rPr>
          <w:rFonts w:ascii="Arial" w:hAnsi="Arial"/>
          <w:i/>
          <w:spacing w:val="-17"/>
          <w:sz w:val="24"/>
        </w:rPr>
        <w:t xml:space="preserve"> </w:t>
      </w:r>
      <w:r>
        <w:rPr>
          <w:rFonts w:ascii="Arial" w:hAnsi="Arial"/>
          <w:i/>
          <w:sz w:val="24"/>
        </w:rPr>
        <w:t>with</w:t>
      </w:r>
      <w:r>
        <w:rPr>
          <w:rFonts w:ascii="Arial" w:hAnsi="Arial"/>
          <w:i/>
          <w:spacing w:val="-16"/>
          <w:sz w:val="24"/>
        </w:rPr>
        <w:t xml:space="preserve"> </w:t>
      </w:r>
      <w:r>
        <w:rPr>
          <w:rFonts w:ascii="Arial" w:hAnsi="Arial"/>
          <w:i/>
          <w:sz w:val="24"/>
        </w:rPr>
        <w:t>disabilities.</w:t>
      </w:r>
      <w:r>
        <w:rPr>
          <w:rFonts w:ascii="Arial" w:hAnsi="Arial"/>
          <w:i/>
          <w:spacing w:val="-14"/>
          <w:sz w:val="24"/>
        </w:rPr>
        <w:t xml:space="preserve"> </w:t>
      </w:r>
      <w:r>
        <w:rPr>
          <w:rFonts w:ascii="Arial" w:hAnsi="Arial"/>
          <w:i/>
          <w:sz w:val="24"/>
        </w:rPr>
        <w:t>With</w:t>
      </w:r>
      <w:r>
        <w:rPr>
          <w:rFonts w:ascii="Arial" w:hAnsi="Arial"/>
          <w:i/>
          <w:spacing w:val="-14"/>
          <w:sz w:val="24"/>
        </w:rPr>
        <w:t xml:space="preserve"> </w:t>
      </w:r>
      <w:r>
        <w:rPr>
          <w:rFonts w:ascii="Arial" w:hAnsi="Arial"/>
          <w:i/>
          <w:sz w:val="24"/>
        </w:rPr>
        <w:t>regard</w:t>
      </w:r>
      <w:r>
        <w:rPr>
          <w:rFonts w:ascii="Arial" w:hAnsi="Arial"/>
          <w:i/>
          <w:spacing w:val="-17"/>
          <w:sz w:val="24"/>
        </w:rPr>
        <w:t xml:space="preserve"> </w:t>
      </w:r>
      <w:r>
        <w:rPr>
          <w:rFonts w:ascii="Arial" w:hAnsi="Arial"/>
          <w:i/>
          <w:sz w:val="24"/>
        </w:rPr>
        <w:t>to</w:t>
      </w:r>
      <w:r>
        <w:rPr>
          <w:rFonts w:ascii="Arial" w:hAnsi="Arial"/>
          <w:i/>
          <w:spacing w:val="-14"/>
          <w:sz w:val="24"/>
        </w:rPr>
        <w:t xml:space="preserve"> </w:t>
      </w:r>
      <w:r>
        <w:rPr>
          <w:rFonts w:ascii="Arial" w:hAnsi="Arial"/>
          <w:i/>
          <w:sz w:val="24"/>
        </w:rPr>
        <w:t>external</w:t>
      </w:r>
      <w:r>
        <w:rPr>
          <w:rFonts w:ascii="Arial" w:hAnsi="Arial"/>
          <w:i/>
          <w:spacing w:val="-17"/>
          <w:sz w:val="24"/>
        </w:rPr>
        <w:t xml:space="preserve"> </w:t>
      </w:r>
      <w:r>
        <w:rPr>
          <w:rFonts w:ascii="Arial" w:hAnsi="Arial"/>
          <w:i/>
          <w:sz w:val="24"/>
        </w:rPr>
        <w:t>actions,</w:t>
      </w:r>
      <w:r>
        <w:rPr>
          <w:rFonts w:ascii="Arial" w:hAnsi="Arial"/>
          <w:i/>
          <w:spacing w:val="-17"/>
          <w:sz w:val="24"/>
        </w:rPr>
        <w:t xml:space="preserve"> </w:t>
      </w:r>
      <w:r>
        <w:rPr>
          <w:rFonts w:ascii="Arial" w:hAnsi="Arial"/>
          <w:i/>
          <w:sz w:val="24"/>
        </w:rPr>
        <w:t>the</w:t>
      </w:r>
      <w:r>
        <w:rPr>
          <w:rFonts w:ascii="Arial" w:hAnsi="Arial"/>
          <w:i/>
          <w:spacing w:val="-16"/>
          <w:sz w:val="24"/>
        </w:rPr>
        <w:t xml:space="preserve"> </w:t>
      </w:r>
      <w:r>
        <w:rPr>
          <w:rFonts w:ascii="Arial" w:hAnsi="Arial"/>
          <w:i/>
          <w:sz w:val="24"/>
        </w:rPr>
        <w:t>Commission</w:t>
      </w:r>
      <w:r>
        <w:rPr>
          <w:rFonts w:ascii="Arial" w:hAnsi="Arial"/>
          <w:i/>
          <w:spacing w:val="-14"/>
          <w:sz w:val="24"/>
        </w:rPr>
        <w:t xml:space="preserve"> </w:t>
      </w:r>
      <w:r>
        <w:rPr>
          <w:rFonts w:ascii="Arial" w:hAnsi="Arial"/>
          <w:i/>
          <w:sz w:val="24"/>
        </w:rPr>
        <w:t xml:space="preserve">applies a human rights-based </w:t>
      </w:r>
      <w:proofErr w:type="gramStart"/>
      <w:r>
        <w:rPr>
          <w:rFonts w:ascii="Arial" w:hAnsi="Arial"/>
          <w:i/>
          <w:sz w:val="24"/>
        </w:rPr>
        <w:t>approach</w:t>
      </w:r>
      <w:proofErr w:type="gramEnd"/>
      <w:r>
        <w:rPr>
          <w:rFonts w:ascii="Arial" w:hAnsi="Arial"/>
          <w:i/>
          <w:sz w:val="24"/>
        </w:rPr>
        <w:t xml:space="preserve"> and services are usually requested to take the views of civil</w:t>
      </w:r>
      <w:r>
        <w:rPr>
          <w:rFonts w:ascii="Arial" w:hAnsi="Arial"/>
          <w:i/>
          <w:spacing w:val="-7"/>
          <w:sz w:val="24"/>
        </w:rPr>
        <w:t xml:space="preserve"> </w:t>
      </w:r>
      <w:r>
        <w:rPr>
          <w:rFonts w:ascii="Arial" w:hAnsi="Arial"/>
          <w:i/>
          <w:sz w:val="24"/>
        </w:rPr>
        <w:t>society</w:t>
      </w:r>
      <w:r>
        <w:rPr>
          <w:rFonts w:ascii="Arial" w:hAnsi="Arial"/>
          <w:i/>
          <w:spacing w:val="-6"/>
          <w:sz w:val="24"/>
        </w:rPr>
        <w:t xml:space="preserve"> </w:t>
      </w:r>
      <w:proofErr w:type="spellStart"/>
      <w:r>
        <w:rPr>
          <w:rFonts w:ascii="Arial" w:hAnsi="Arial"/>
          <w:i/>
          <w:sz w:val="24"/>
        </w:rPr>
        <w:t>organisations</w:t>
      </w:r>
      <w:proofErr w:type="spellEnd"/>
      <w:r>
        <w:rPr>
          <w:rFonts w:ascii="Arial" w:hAnsi="Arial"/>
          <w:i/>
          <w:spacing w:val="-6"/>
          <w:sz w:val="24"/>
        </w:rPr>
        <w:t xml:space="preserve"> </w:t>
      </w:r>
      <w:r>
        <w:rPr>
          <w:rFonts w:ascii="Arial" w:hAnsi="Arial"/>
          <w:i/>
          <w:sz w:val="24"/>
        </w:rPr>
        <w:t>(CSOs)</w:t>
      </w:r>
      <w:r>
        <w:rPr>
          <w:rFonts w:ascii="Arial" w:hAnsi="Arial"/>
          <w:i/>
          <w:spacing w:val="-7"/>
          <w:sz w:val="24"/>
        </w:rPr>
        <w:t xml:space="preserve"> </w:t>
      </w:r>
      <w:r>
        <w:rPr>
          <w:rFonts w:ascii="Arial" w:hAnsi="Arial"/>
          <w:i/>
          <w:sz w:val="24"/>
        </w:rPr>
        <w:t>into</w:t>
      </w:r>
      <w:r>
        <w:rPr>
          <w:rFonts w:ascii="Arial" w:hAnsi="Arial"/>
          <w:i/>
          <w:spacing w:val="-6"/>
          <w:sz w:val="24"/>
        </w:rPr>
        <w:t xml:space="preserve"> </w:t>
      </w:r>
      <w:r>
        <w:rPr>
          <w:rFonts w:ascii="Arial" w:hAnsi="Arial"/>
          <w:i/>
          <w:sz w:val="24"/>
        </w:rPr>
        <w:t>account</w:t>
      </w:r>
      <w:r>
        <w:rPr>
          <w:rFonts w:ascii="Arial" w:hAnsi="Arial"/>
          <w:i/>
          <w:spacing w:val="-6"/>
          <w:sz w:val="24"/>
        </w:rPr>
        <w:t xml:space="preserve"> </w:t>
      </w:r>
      <w:r>
        <w:rPr>
          <w:rFonts w:ascii="Arial" w:hAnsi="Arial"/>
          <w:i/>
          <w:sz w:val="24"/>
        </w:rPr>
        <w:t>when</w:t>
      </w:r>
      <w:r>
        <w:rPr>
          <w:rFonts w:ascii="Arial" w:hAnsi="Arial"/>
          <w:i/>
          <w:spacing w:val="-8"/>
          <w:sz w:val="24"/>
        </w:rPr>
        <w:t xml:space="preserve"> </w:t>
      </w:r>
      <w:r>
        <w:rPr>
          <w:rFonts w:ascii="Arial" w:hAnsi="Arial"/>
          <w:i/>
          <w:sz w:val="24"/>
        </w:rPr>
        <w:t>preparing</w:t>
      </w:r>
      <w:r>
        <w:rPr>
          <w:rFonts w:ascii="Arial" w:hAnsi="Arial"/>
          <w:i/>
          <w:spacing w:val="-6"/>
          <w:sz w:val="24"/>
        </w:rPr>
        <w:t xml:space="preserve"> </w:t>
      </w:r>
      <w:r>
        <w:rPr>
          <w:rFonts w:ascii="Arial" w:hAnsi="Arial"/>
          <w:i/>
          <w:sz w:val="24"/>
        </w:rPr>
        <w:t>programming</w:t>
      </w:r>
      <w:r>
        <w:rPr>
          <w:rFonts w:ascii="Arial" w:hAnsi="Arial"/>
          <w:i/>
          <w:spacing w:val="-5"/>
          <w:sz w:val="24"/>
        </w:rPr>
        <w:t xml:space="preserve"> </w:t>
      </w:r>
      <w:r>
        <w:rPr>
          <w:rFonts w:ascii="Arial" w:hAnsi="Arial"/>
          <w:i/>
          <w:sz w:val="24"/>
        </w:rPr>
        <w:t>documents and during implementation.”</w:t>
      </w:r>
    </w:p>
    <w:p w14:paraId="2E74A2F2" w14:textId="77777777" w:rsidR="00161C10" w:rsidRDefault="00CE2C8C">
      <w:pPr>
        <w:pStyle w:val="BodyText"/>
        <w:spacing w:before="121" w:line="276" w:lineRule="auto"/>
        <w:ind w:left="360" w:right="358"/>
        <w:jc w:val="both"/>
      </w:pPr>
      <w:r>
        <w:t>ENIL is not aware of any meaningful involvement of disabled people or DPOs in the preparation and - even more so - implementation of the funds, despite our active participation in multiple communities of practice and expert groups on the topic, i.e. the European Community of Practice on Partnership (</w:t>
      </w:r>
      <w:proofErr w:type="spellStart"/>
      <w:r>
        <w:t>ECoPP</w:t>
      </w:r>
      <w:proofErr w:type="spellEnd"/>
      <w:r>
        <w:t>), the ESF+ Community of Practice on Social Inclusion,</w:t>
      </w:r>
      <w:r>
        <w:rPr>
          <w:spacing w:val="40"/>
        </w:rPr>
        <w:t xml:space="preserve"> </w:t>
      </w:r>
      <w:r>
        <w:t xml:space="preserve">and the </w:t>
      </w:r>
      <w:hyperlink r:id="rId35">
        <w:r>
          <w:rPr>
            <w:color w:val="1154CC"/>
            <w:u w:val="single" w:color="1154CC"/>
          </w:rPr>
          <w:t>Group of experts on the funds established by</w:t>
        </w:r>
      </w:hyperlink>
      <w:r>
        <w:rPr>
          <w:color w:val="1154CC"/>
        </w:rPr>
        <w:t xml:space="preserve"> </w:t>
      </w:r>
      <w:hyperlink r:id="rId36">
        <w:r>
          <w:rPr>
            <w:color w:val="1154CC"/>
            <w:u w:val="single" w:color="1154CC"/>
          </w:rPr>
          <w:t>Regulation (EU) No 2021/1060</w:t>
        </w:r>
      </w:hyperlink>
      <w:r>
        <w:t>.</w:t>
      </w:r>
    </w:p>
    <w:p w14:paraId="4B9BE7F1" w14:textId="77777777" w:rsidR="00161C10" w:rsidRDefault="00CE2C8C">
      <w:pPr>
        <w:pStyle w:val="BodyText"/>
        <w:spacing w:before="119" w:line="276" w:lineRule="auto"/>
        <w:ind w:left="360" w:right="360"/>
        <w:jc w:val="both"/>
      </w:pPr>
      <w:r>
        <w:t>It</w:t>
      </w:r>
      <w:r>
        <w:rPr>
          <w:spacing w:val="-6"/>
        </w:rPr>
        <w:t xml:space="preserve"> </w:t>
      </w:r>
      <w:r>
        <w:t>is</w:t>
      </w:r>
      <w:r>
        <w:rPr>
          <w:spacing w:val="-7"/>
        </w:rPr>
        <w:t xml:space="preserve"> </w:t>
      </w:r>
      <w:r>
        <w:t>clear</w:t>
      </w:r>
      <w:r>
        <w:rPr>
          <w:spacing w:val="-7"/>
        </w:rPr>
        <w:t xml:space="preserve"> </w:t>
      </w:r>
      <w:r>
        <w:t>from</w:t>
      </w:r>
      <w:r>
        <w:rPr>
          <w:spacing w:val="-8"/>
        </w:rPr>
        <w:t xml:space="preserve"> </w:t>
      </w:r>
      <w:r>
        <w:t>the</w:t>
      </w:r>
      <w:r>
        <w:rPr>
          <w:spacing w:val="-8"/>
        </w:rPr>
        <w:t xml:space="preserve"> </w:t>
      </w:r>
      <w:r>
        <w:t>EU’s</w:t>
      </w:r>
      <w:r>
        <w:rPr>
          <w:spacing w:val="-9"/>
        </w:rPr>
        <w:t xml:space="preserve"> </w:t>
      </w:r>
      <w:r>
        <w:t>response</w:t>
      </w:r>
      <w:r>
        <w:rPr>
          <w:spacing w:val="-8"/>
        </w:rPr>
        <w:t xml:space="preserve"> </w:t>
      </w:r>
      <w:r>
        <w:t>to</w:t>
      </w:r>
      <w:r>
        <w:rPr>
          <w:spacing w:val="-8"/>
        </w:rPr>
        <w:t xml:space="preserve"> </w:t>
      </w:r>
      <w:r>
        <w:t>the</w:t>
      </w:r>
      <w:r>
        <w:rPr>
          <w:spacing w:val="-6"/>
        </w:rPr>
        <w:t xml:space="preserve"> </w:t>
      </w:r>
      <w:r>
        <w:t>issues</w:t>
      </w:r>
      <w:r>
        <w:rPr>
          <w:spacing w:val="-9"/>
        </w:rPr>
        <w:t xml:space="preserve"> </w:t>
      </w:r>
      <w:r>
        <w:t>raised</w:t>
      </w:r>
      <w:r>
        <w:rPr>
          <w:spacing w:val="-8"/>
        </w:rPr>
        <w:t xml:space="preserve"> </w:t>
      </w:r>
      <w:r>
        <w:t>in</w:t>
      </w:r>
      <w:r>
        <w:rPr>
          <w:spacing w:val="-9"/>
        </w:rPr>
        <w:t xml:space="preserve"> </w:t>
      </w:r>
      <w:r>
        <w:t>paragraph</w:t>
      </w:r>
      <w:r>
        <w:rPr>
          <w:spacing w:val="-8"/>
        </w:rPr>
        <w:t xml:space="preserve"> </w:t>
      </w:r>
      <w:r>
        <w:t>21</w:t>
      </w:r>
      <w:r>
        <w:rPr>
          <w:spacing w:val="-8"/>
        </w:rPr>
        <w:t xml:space="preserve"> </w:t>
      </w:r>
      <w:r>
        <w:t>of</w:t>
      </w:r>
      <w:r>
        <w:rPr>
          <w:spacing w:val="-9"/>
        </w:rPr>
        <w:t xml:space="preserve"> </w:t>
      </w:r>
      <w:r>
        <w:t>the</w:t>
      </w:r>
      <w:r>
        <w:rPr>
          <w:spacing w:val="-6"/>
        </w:rPr>
        <w:t xml:space="preserve"> </w:t>
      </w:r>
      <w:r>
        <w:t>list</w:t>
      </w:r>
      <w:r>
        <w:rPr>
          <w:spacing w:val="-9"/>
        </w:rPr>
        <w:t xml:space="preserve"> </w:t>
      </w:r>
      <w:r>
        <w:t>of</w:t>
      </w:r>
      <w:r>
        <w:rPr>
          <w:spacing w:val="-6"/>
        </w:rPr>
        <w:t xml:space="preserve"> </w:t>
      </w:r>
      <w:r>
        <w:t>issues (</w:t>
      </w:r>
      <w:r>
        <w:rPr>
          <w:rFonts w:ascii="Arial" w:hAnsi="Arial"/>
          <w:i/>
        </w:rPr>
        <w:t>see</w:t>
      </w:r>
      <w:r>
        <w:rPr>
          <w:rFonts w:ascii="Arial" w:hAnsi="Arial"/>
          <w:i/>
          <w:spacing w:val="-17"/>
        </w:rPr>
        <w:t xml:space="preserve"> </w:t>
      </w:r>
      <w:r>
        <w:rPr>
          <w:rFonts w:ascii="Arial" w:hAnsi="Arial"/>
          <w:i/>
        </w:rPr>
        <w:t>section</w:t>
      </w:r>
      <w:r>
        <w:rPr>
          <w:rFonts w:ascii="Arial" w:hAnsi="Arial"/>
          <w:i/>
          <w:spacing w:val="-17"/>
        </w:rPr>
        <w:t xml:space="preserve"> </w:t>
      </w:r>
      <w:r>
        <w:rPr>
          <w:rFonts w:ascii="Arial" w:hAnsi="Arial"/>
          <w:i/>
        </w:rPr>
        <w:t>3.2.4.</w:t>
      </w:r>
      <w:r>
        <w:t>)</w:t>
      </w:r>
      <w:r>
        <w:rPr>
          <w:spacing w:val="-16"/>
        </w:rPr>
        <w:t xml:space="preserve"> </w:t>
      </w:r>
      <w:r>
        <w:t>that</w:t>
      </w:r>
      <w:r>
        <w:rPr>
          <w:spacing w:val="-17"/>
        </w:rPr>
        <w:t xml:space="preserve"> </w:t>
      </w:r>
      <w:r>
        <w:t>the</w:t>
      </w:r>
      <w:r>
        <w:rPr>
          <w:spacing w:val="-17"/>
        </w:rPr>
        <w:t xml:space="preserve"> </w:t>
      </w:r>
      <w:r>
        <w:t>requirements</w:t>
      </w:r>
      <w:r>
        <w:rPr>
          <w:spacing w:val="-17"/>
        </w:rPr>
        <w:t xml:space="preserve"> </w:t>
      </w:r>
      <w:r>
        <w:t>contained</w:t>
      </w:r>
      <w:r>
        <w:rPr>
          <w:spacing w:val="-16"/>
        </w:rPr>
        <w:t xml:space="preserve"> </w:t>
      </w:r>
      <w:r>
        <w:t>in</w:t>
      </w:r>
      <w:r>
        <w:rPr>
          <w:spacing w:val="-17"/>
        </w:rPr>
        <w:t xml:space="preserve"> </w:t>
      </w:r>
      <w:r>
        <w:t>the</w:t>
      </w:r>
      <w:r>
        <w:rPr>
          <w:spacing w:val="-17"/>
        </w:rPr>
        <w:t xml:space="preserve"> </w:t>
      </w:r>
      <w:r>
        <w:t>rules</w:t>
      </w:r>
      <w:r>
        <w:rPr>
          <w:spacing w:val="-16"/>
        </w:rPr>
        <w:t xml:space="preserve"> </w:t>
      </w:r>
      <w:r>
        <w:t>governing</w:t>
      </w:r>
      <w:r>
        <w:rPr>
          <w:spacing w:val="-17"/>
        </w:rPr>
        <w:t xml:space="preserve"> </w:t>
      </w:r>
      <w:r>
        <w:t>cohesion</w:t>
      </w:r>
      <w:r>
        <w:rPr>
          <w:spacing w:val="-17"/>
        </w:rPr>
        <w:t xml:space="preserve"> </w:t>
      </w:r>
      <w:r>
        <w:t>funds do not prohibit investments in institutions for persons with disabilities. In fact, the EU’s official</w:t>
      </w:r>
      <w:r>
        <w:rPr>
          <w:spacing w:val="-12"/>
        </w:rPr>
        <w:t xml:space="preserve"> </w:t>
      </w:r>
      <w:r>
        <w:t>report</w:t>
      </w:r>
      <w:r>
        <w:rPr>
          <w:spacing w:val="-11"/>
        </w:rPr>
        <w:t xml:space="preserve"> </w:t>
      </w:r>
      <w:r>
        <w:t>claims</w:t>
      </w:r>
      <w:r>
        <w:rPr>
          <w:spacing w:val="-11"/>
        </w:rPr>
        <w:t xml:space="preserve"> </w:t>
      </w:r>
      <w:r>
        <w:t>these</w:t>
      </w:r>
      <w:r>
        <w:rPr>
          <w:spacing w:val="-10"/>
        </w:rPr>
        <w:t xml:space="preserve"> </w:t>
      </w:r>
      <w:r>
        <w:t>are</w:t>
      </w:r>
      <w:r>
        <w:rPr>
          <w:spacing w:val="-10"/>
        </w:rPr>
        <w:t xml:space="preserve"> </w:t>
      </w:r>
      <w:r>
        <w:t>compatible</w:t>
      </w:r>
      <w:r>
        <w:rPr>
          <w:spacing w:val="-13"/>
        </w:rPr>
        <w:t xml:space="preserve"> </w:t>
      </w:r>
      <w:r>
        <w:t>with</w:t>
      </w:r>
      <w:r>
        <w:rPr>
          <w:spacing w:val="-10"/>
        </w:rPr>
        <w:t xml:space="preserve"> </w:t>
      </w:r>
      <w:r>
        <w:t>the</w:t>
      </w:r>
      <w:r>
        <w:rPr>
          <w:spacing w:val="-10"/>
        </w:rPr>
        <w:t xml:space="preserve"> </w:t>
      </w:r>
      <w:r>
        <w:t>UNCRPD</w:t>
      </w:r>
      <w:r>
        <w:rPr>
          <w:spacing w:val="-12"/>
        </w:rPr>
        <w:t xml:space="preserve"> </w:t>
      </w:r>
      <w:r>
        <w:t>and</w:t>
      </w:r>
      <w:r>
        <w:rPr>
          <w:spacing w:val="-10"/>
        </w:rPr>
        <w:t xml:space="preserve"> </w:t>
      </w:r>
      <w:r>
        <w:t>the</w:t>
      </w:r>
      <w:r>
        <w:rPr>
          <w:spacing w:val="-10"/>
        </w:rPr>
        <w:t xml:space="preserve"> </w:t>
      </w:r>
      <w:r>
        <w:t>right</w:t>
      </w:r>
      <w:r>
        <w:rPr>
          <w:spacing w:val="-13"/>
        </w:rPr>
        <w:t xml:space="preserve"> </w:t>
      </w:r>
      <w:r>
        <w:t>to</w:t>
      </w:r>
      <w:r>
        <w:rPr>
          <w:spacing w:val="-12"/>
        </w:rPr>
        <w:t xml:space="preserve"> </w:t>
      </w:r>
      <w:r>
        <w:t xml:space="preserve">independent </w:t>
      </w:r>
      <w:r>
        <w:rPr>
          <w:spacing w:val="-2"/>
        </w:rPr>
        <w:t>living.</w:t>
      </w:r>
    </w:p>
    <w:p w14:paraId="371DF413" w14:textId="77777777" w:rsidR="00161C10" w:rsidRDefault="00CE2C8C">
      <w:pPr>
        <w:pStyle w:val="BodyText"/>
        <w:spacing w:before="120" w:line="278" w:lineRule="auto"/>
        <w:ind w:left="360" w:right="357"/>
        <w:jc w:val="both"/>
      </w:pPr>
      <w:r>
        <w:t xml:space="preserve">As noted in our </w:t>
      </w:r>
      <w:hyperlink r:id="rId37">
        <w:r>
          <w:rPr>
            <w:color w:val="1154CC"/>
            <w:u w:val="single" w:color="1154CC"/>
          </w:rPr>
          <w:t>Shadow report from 2022</w:t>
        </w:r>
      </w:hyperlink>
      <w:r>
        <w:t xml:space="preserve">, our </w:t>
      </w:r>
      <w:hyperlink r:id="rId38">
        <w:r>
          <w:rPr>
            <w:color w:val="1154CC"/>
            <w:u w:val="single" w:color="1154CC"/>
          </w:rPr>
          <w:t>research on the use of EU funds for</w:t>
        </w:r>
      </w:hyperlink>
      <w:r>
        <w:rPr>
          <w:color w:val="1154CC"/>
        </w:rPr>
        <w:t xml:space="preserve"> </w:t>
      </w:r>
      <w:hyperlink r:id="rId39">
        <w:r>
          <w:rPr>
            <w:color w:val="1154CC"/>
            <w:u w:val="single" w:color="1154CC"/>
          </w:rPr>
          <w:t>external</w:t>
        </w:r>
        <w:r>
          <w:rPr>
            <w:color w:val="1154CC"/>
            <w:spacing w:val="35"/>
            <w:u w:val="single" w:color="1154CC"/>
          </w:rPr>
          <w:t xml:space="preserve"> </w:t>
        </w:r>
        <w:r>
          <w:rPr>
            <w:color w:val="1154CC"/>
            <w:u w:val="single" w:color="1154CC"/>
          </w:rPr>
          <w:t>action</w:t>
        </w:r>
      </w:hyperlink>
      <w:r>
        <w:rPr>
          <w:color w:val="1154CC"/>
          <w:spacing w:val="40"/>
        </w:rPr>
        <w:t xml:space="preserve"> </w:t>
      </w:r>
      <w:r>
        <w:t>revealed</w:t>
      </w:r>
      <w:r>
        <w:rPr>
          <w:spacing w:val="39"/>
        </w:rPr>
        <w:t xml:space="preserve"> </w:t>
      </w:r>
      <w:r>
        <w:t>the</w:t>
      </w:r>
      <w:r>
        <w:rPr>
          <w:spacing w:val="36"/>
        </w:rPr>
        <w:t xml:space="preserve"> </w:t>
      </w:r>
      <w:r>
        <w:t>following</w:t>
      </w:r>
      <w:r>
        <w:rPr>
          <w:spacing w:val="39"/>
        </w:rPr>
        <w:t xml:space="preserve"> </w:t>
      </w:r>
      <w:r>
        <w:t>vies</w:t>
      </w:r>
      <w:r>
        <w:rPr>
          <w:spacing w:val="36"/>
        </w:rPr>
        <w:t xml:space="preserve"> </w:t>
      </w:r>
      <w:r>
        <w:t>held</w:t>
      </w:r>
      <w:r>
        <w:rPr>
          <w:spacing w:val="36"/>
        </w:rPr>
        <w:t xml:space="preserve"> </w:t>
      </w:r>
      <w:r>
        <w:t>by</w:t>
      </w:r>
      <w:r>
        <w:rPr>
          <w:spacing w:val="38"/>
        </w:rPr>
        <w:t xml:space="preserve"> </w:t>
      </w:r>
      <w:r>
        <w:t>DPOs</w:t>
      </w:r>
      <w:r>
        <w:rPr>
          <w:spacing w:val="36"/>
        </w:rPr>
        <w:t xml:space="preserve"> </w:t>
      </w:r>
      <w:r>
        <w:t>and</w:t>
      </w:r>
      <w:r>
        <w:rPr>
          <w:spacing w:val="39"/>
        </w:rPr>
        <w:t xml:space="preserve"> </w:t>
      </w:r>
      <w:r>
        <w:t>CSOs</w:t>
      </w:r>
      <w:r>
        <w:rPr>
          <w:spacing w:val="38"/>
        </w:rPr>
        <w:t xml:space="preserve"> </w:t>
      </w:r>
      <w:r>
        <w:t>on</w:t>
      </w:r>
      <w:r>
        <w:rPr>
          <w:spacing w:val="39"/>
        </w:rPr>
        <w:t xml:space="preserve"> </w:t>
      </w:r>
      <w:r>
        <w:t>EU’s</w:t>
      </w:r>
      <w:r>
        <w:rPr>
          <w:spacing w:val="38"/>
        </w:rPr>
        <w:t xml:space="preserve"> </w:t>
      </w:r>
      <w:r>
        <w:t>role</w:t>
      </w:r>
      <w:r>
        <w:rPr>
          <w:spacing w:val="38"/>
        </w:rPr>
        <w:t xml:space="preserve"> </w:t>
      </w:r>
      <w:r>
        <w:t>in</w:t>
      </w:r>
    </w:p>
    <w:p w14:paraId="1329497B" w14:textId="77777777" w:rsidR="00161C10" w:rsidRDefault="00CE2C8C">
      <w:pPr>
        <w:pStyle w:val="BodyText"/>
        <w:spacing w:before="194"/>
        <w:rPr>
          <w:sz w:val="20"/>
        </w:rPr>
      </w:pPr>
      <w:r>
        <w:rPr>
          <w:noProof/>
          <w:sz w:val="20"/>
        </w:rPr>
        <mc:AlternateContent>
          <mc:Choice Requires="wps">
            <w:drawing>
              <wp:anchor distT="0" distB="0" distL="0" distR="0" simplePos="0" relativeHeight="487591936" behindDoc="1" locked="0" layoutInCell="1" allowOverlap="1" wp14:anchorId="24292BBD" wp14:editId="5A7FC6DA">
                <wp:simplePos x="0" y="0"/>
                <wp:positionH relativeFrom="page">
                  <wp:posOffset>914704</wp:posOffset>
                </wp:positionH>
                <wp:positionV relativeFrom="paragraph">
                  <wp:posOffset>285002</wp:posOffset>
                </wp:positionV>
                <wp:extent cx="1829435"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131FCC" id="Graphic 15" o:spid="_x0000_s1026" style="position:absolute;margin-left:1in;margin-top:22.45pt;width:144.0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" path="m1829054,l,,,7620r1829054,l1829054,xe" fillcolor="black" stroked="f">
                <v:path arrowok="t"/>
                <w10:wrap type="topAndBottom" anchorx="page"/>
              </v:shape>
            </w:pict>
          </mc:Fallback>
        </mc:AlternateContent>
      </w:r>
    </w:p>
    <w:p w14:paraId="31F4BF96" w14:textId="77777777" w:rsidR="00161C10" w:rsidRDefault="00CE2C8C">
      <w:pPr>
        <w:spacing w:before="91"/>
        <w:ind w:left="360" w:right="377"/>
        <w:rPr>
          <w:sz w:val="20"/>
        </w:rPr>
      </w:pPr>
      <w:bookmarkStart w:id="3" w:name="_bookmark3"/>
      <w:bookmarkEnd w:id="3"/>
      <w:r>
        <w:rPr>
          <w:position w:val="6"/>
          <w:sz w:val="13"/>
        </w:rPr>
        <w:t>4</w:t>
      </w:r>
      <w:r>
        <w:rPr>
          <w:spacing w:val="15"/>
          <w:position w:val="6"/>
          <w:sz w:val="13"/>
        </w:rPr>
        <w:t xml:space="preserve"> </w:t>
      </w:r>
      <w:r>
        <w:rPr>
          <w:sz w:val="20"/>
        </w:rPr>
        <w:t>The</w:t>
      </w:r>
      <w:r>
        <w:rPr>
          <w:spacing w:val="-5"/>
          <w:sz w:val="20"/>
        </w:rPr>
        <w:t xml:space="preserve"> </w:t>
      </w:r>
      <w:r>
        <w:rPr>
          <w:sz w:val="20"/>
        </w:rPr>
        <w:t>Charter</w:t>
      </w:r>
      <w:r>
        <w:rPr>
          <w:spacing w:val="-3"/>
          <w:sz w:val="20"/>
        </w:rPr>
        <w:t xml:space="preserve"> </w:t>
      </w:r>
      <w:r>
        <w:rPr>
          <w:sz w:val="20"/>
        </w:rPr>
        <w:t>refers</w:t>
      </w:r>
      <w:r>
        <w:rPr>
          <w:spacing w:val="-2"/>
          <w:sz w:val="20"/>
        </w:rPr>
        <w:t xml:space="preserve"> </w:t>
      </w:r>
      <w:r>
        <w:rPr>
          <w:sz w:val="20"/>
        </w:rPr>
        <w:t>to</w:t>
      </w:r>
      <w:r>
        <w:rPr>
          <w:spacing w:val="-5"/>
          <w:sz w:val="20"/>
        </w:rPr>
        <w:t xml:space="preserve"> </w:t>
      </w:r>
      <w:r>
        <w:rPr>
          <w:sz w:val="20"/>
        </w:rPr>
        <w:t>‘integration’</w:t>
      </w:r>
      <w:r>
        <w:rPr>
          <w:spacing w:val="-5"/>
          <w:sz w:val="20"/>
        </w:rPr>
        <w:t xml:space="preserve"> </w:t>
      </w:r>
      <w:r>
        <w:rPr>
          <w:sz w:val="20"/>
        </w:rPr>
        <w:t>of</w:t>
      </w:r>
      <w:r>
        <w:rPr>
          <w:spacing w:val="-4"/>
          <w:sz w:val="20"/>
        </w:rPr>
        <w:t xml:space="preserve"> </w:t>
      </w:r>
      <w:r>
        <w:rPr>
          <w:sz w:val="20"/>
        </w:rPr>
        <w:t>disabled</w:t>
      </w:r>
      <w:r>
        <w:rPr>
          <w:spacing w:val="-3"/>
          <w:sz w:val="20"/>
        </w:rPr>
        <w:t xml:space="preserve"> </w:t>
      </w:r>
      <w:r>
        <w:rPr>
          <w:sz w:val="20"/>
        </w:rPr>
        <w:t>people,</w:t>
      </w:r>
      <w:r>
        <w:rPr>
          <w:spacing w:val="-4"/>
          <w:sz w:val="20"/>
        </w:rPr>
        <w:t xml:space="preserve"> </w:t>
      </w:r>
      <w:r>
        <w:rPr>
          <w:sz w:val="20"/>
        </w:rPr>
        <w:t>rather</w:t>
      </w:r>
      <w:r>
        <w:rPr>
          <w:spacing w:val="-4"/>
          <w:sz w:val="20"/>
        </w:rPr>
        <w:t xml:space="preserve"> </w:t>
      </w:r>
      <w:r>
        <w:rPr>
          <w:sz w:val="20"/>
        </w:rPr>
        <w:t>than</w:t>
      </w:r>
      <w:r>
        <w:rPr>
          <w:spacing w:val="-2"/>
          <w:sz w:val="20"/>
        </w:rPr>
        <w:t xml:space="preserve"> </w:t>
      </w:r>
      <w:r>
        <w:rPr>
          <w:sz w:val="20"/>
        </w:rPr>
        <w:t>‘inclusion’,</w:t>
      </w:r>
      <w:r>
        <w:rPr>
          <w:spacing w:val="-4"/>
          <w:sz w:val="20"/>
        </w:rPr>
        <w:t xml:space="preserve"> </w:t>
      </w:r>
      <w:r>
        <w:rPr>
          <w:sz w:val="20"/>
        </w:rPr>
        <w:t>which</w:t>
      </w:r>
      <w:r>
        <w:rPr>
          <w:spacing w:val="-2"/>
          <w:sz w:val="20"/>
        </w:rPr>
        <w:t xml:space="preserve"> </w:t>
      </w:r>
      <w:r>
        <w:rPr>
          <w:sz w:val="20"/>
        </w:rPr>
        <w:t>is</w:t>
      </w:r>
      <w:r>
        <w:rPr>
          <w:spacing w:val="-3"/>
          <w:sz w:val="20"/>
        </w:rPr>
        <w:t xml:space="preserve"> </w:t>
      </w:r>
      <w:r>
        <w:rPr>
          <w:sz w:val="20"/>
        </w:rPr>
        <w:t>indicative</w:t>
      </w:r>
      <w:r>
        <w:rPr>
          <w:spacing w:val="-4"/>
          <w:sz w:val="20"/>
        </w:rPr>
        <w:t xml:space="preserve"> </w:t>
      </w:r>
      <w:r>
        <w:rPr>
          <w:sz w:val="20"/>
        </w:rPr>
        <w:t>of</w:t>
      </w:r>
      <w:r>
        <w:rPr>
          <w:spacing w:val="-4"/>
          <w:sz w:val="20"/>
        </w:rPr>
        <w:t xml:space="preserve"> </w:t>
      </w:r>
      <w:r>
        <w:rPr>
          <w:sz w:val="20"/>
        </w:rPr>
        <w:t>the need for further changes to the EU law to ensure compliance with the UNCRPD.</w:t>
      </w:r>
    </w:p>
    <w:p w14:paraId="1566B769" w14:textId="77777777" w:rsidR="00161C10" w:rsidRDefault="00161C10">
      <w:pPr>
        <w:rPr>
          <w:sz w:val="20"/>
        </w:rPr>
        <w:sectPr w:rsidR="00161C10">
          <w:pgSz w:w="12240" w:h="15840"/>
          <w:pgMar w:top="1360" w:right="1080" w:bottom="1460" w:left="1080" w:header="0" w:footer="1274" w:gutter="0"/>
          <w:cols w:space="720"/>
        </w:sectPr>
      </w:pPr>
    </w:p>
    <w:p w14:paraId="2096E96C" w14:textId="77777777" w:rsidR="00161C10" w:rsidRDefault="00CE2C8C">
      <w:pPr>
        <w:pStyle w:val="BodyText"/>
        <w:spacing w:before="81" w:line="276" w:lineRule="auto"/>
        <w:ind w:left="360" w:right="353"/>
        <w:jc w:val="both"/>
      </w:pPr>
      <w:r>
        <w:lastRenderedPageBreak/>
        <w:t>supporting deinstitutionalisation: a) lack of projects on DI funded by the EU; b) DI understood</w:t>
      </w:r>
      <w:r>
        <w:rPr>
          <w:spacing w:val="-8"/>
        </w:rPr>
        <w:t xml:space="preserve"> </w:t>
      </w:r>
      <w:r>
        <w:t>as</w:t>
      </w:r>
      <w:r>
        <w:rPr>
          <w:spacing w:val="-12"/>
        </w:rPr>
        <w:t xml:space="preserve"> </w:t>
      </w:r>
      <w:r>
        <w:t>moving</w:t>
      </w:r>
      <w:r>
        <w:rPr>
          <w:spacing w:val="-11"/>
        </w:rPr>
        <w:t xml:space="preserve"> </w:t>
      </w:r>
      <w:r>
        <w:t>residents</w:t>
      </w:r>
      <w:r>
        <w:rPr>
          <w:spacing w:val="-11"/>
        </w:rPr>
        <w:t xml:space="preserve"> </w:t>
      </w:r>
      <w:r>
        <w:t>from</w:t>
      </w:r>
      <w:r>
        <w:rPr>
          <w:spacing w:val="-8"/>
        </w:rPr>
        <w:t xml:space="preserve"> </w:t>
      </w:r>
      <w:r>
        <w:t>large</w:t>
      </w:r>
      <w:r>
        <w:rPr>
          <w:spacing w:val="-8"/>
        </w:rPr>
        <w:t xml:space="preserve"> </w:t>
      </w:r>
      <w:r>
        <w:t>to</w:t>
      </w:r>
      <w:r>
        <w:rPr>
          <w:spacing w:val="-11"/>
        </w:rPr>
        <w:t xml:space="preserve"> </w:t>
      </w:r>
      <w:r>
        <w:t>small</w:t>
      </w:r>
      <w:r>
        <w:rPr>
          <w:spacing w:val="-10"/>
        </w:rPr>
        <w:t xml:space="preserve"> </w:t>
      </w:r>
      <w:r>
        <w:t>institutions;</w:t>
      </w:r>
      <w:r>
        <w:rPr>
          <w:spacing w:val="-11"/>
        </w:rPr>
        <w:t xml:space="preserve"> </w:t>
      </w:r>
      <w:r>
        <w:t>c)</w:t>
      </w:r>
      <w:r>
        <w:rPr>
          <w:spacing w:val="-10"/>
        </w:rPr>
        <w:t xml:space="preserve"> </w:t>
      </w:r>
      <w:r>
        <w:t>lack</w:t>
      </w:r>
      <w:r>
        <w:rPr>
          <w:spacing w:val="-9"/>
        </w:rPr>
        <w:t xml:space="preserve"> </w:t>
      </w:r>
      <w:r>
        <w:t>of</w:t>
      </w:r>
      <w:r>
        <w:rPr>
          <w:spacing w:val="-9"/>
        </w:rPr>
        <w:t xml:space="preserve"> </w:t>
      </w:r>
      <w:r>
        <w:t>clear</w:t>
      </w:r>
      <w:r>
        <w:rPr>
          <w:spacing w:val="-10"/>
        </w:rPr>
        <w:t xml:space="preserve"> </w:t>
      </w:r>
      <w:r>
        <w:t>criteria</w:t>
      </w:r>
      <w:r>
        <w:rPr>
          <w:spacing w:val="-8"/>
        </w:rPr>
        <w:t xml:space="preserve"> </w:t>
      </w:r>
      <w:r>
        <w:t>for the selection of projects; d) contracts awarded to beneficiaries with lack of expertise on DI; e) lack of sustainability of the newly-developed services; f) difficulty of accessing comprehensive</w:t>
      </w:r>
      <w:r>
        <w:rPr>
          <w:spacing w:val="-17"/>
        </w:rPr>
        <w:t xml:space="preserve"> </w:t>
      </w:r>
      <w:r>
        <w:t>information</w:t>
      </w:r>
      <w:r>
        <w:rPr>
          <w:spacing w:val="-17"/>
        </w:rPr>
        <w:t xml:space="preserve"> </w:t>
      </w:r>
      <w:r>
        <w:t>about</w:t>
      </w:r>
      <w:r>
        <w:rPr>
          <w:spacing w:val="-16"/>
        </w:rPr>
        <w:t xml:space="preserve"> </w:t>
      </w:r>
      <w:r>
        <w:t>the</w:t>
      </w:r>
      <w:r>
        <w:rPr>
          <w:spacing w:val="-17"/>
        </w:rPr>
        <w:t xml:space="preserve"> </w:t>
      </w:r>
      <w:r>
        <w:t>projects</w:t>
      </w:r>
      <w:r>
        <w:rPr>
          <w:spacing w:val="-17"/>
        </w:rPr>
        <w:t xml:space="preserve"> </w:t>
      </w:r>
      <w:r>
        <w:t>funded;</w:t>
      </w:r>
      <w:r>
        <w:rPr>
          <w:spacing w:val="-17"/>
        </w:rPr>
        <w:t xml:space="preserve"> </w:t>
      </w:r>
      <w:r>
        <w:t>and</w:t>
      </w:r>
      <w:r>
        <w:rPr>
          <w:spacing w:val="-16"/>
        </w:rPr>
        <w:t xml:space="preserve"> </w:t>
      </w:r>
      <w:r>
        <w:t>g)</w:t>
      </w:r>
      <w:r>
        <w:rPr>
          <w:spacing w:val="-17"/>
        </w:rPr>
        <w:t xml:space="preserve"> </w:t>
      </w:r>
      <w:r>
        <w:t>lack</w:t>
      </w:r>
      <w:r>
        <w:rPr>
          <w:spacing w:val="-17"/>
        </w:rPr>
        <w:t xml:space="preserve"> </w:t>
      </w:r>
      <w:r>
        <w:t>of</w:t>
      </w:r>
      <w:r>
        <w:rPr>
          <w:spacing w:val="-16"/>
        </w:rPr>
        <w:t xml:space="preserve"> </w:t>
      </w:r>
      <w:r>
        <w:t>involvement</w:t>
      </w:r>
      <w:r>
        <w:rPr>
          <w:spacing w:val="-17"/>
        </w:rPr>
        <w:t xml:space="preserve"> </w:t>
      </w:r>
      <w:r>
        <w:t>of</w:t>
      </w:r>
      <w:r>
        <w:rPr>
          <w:spacing w:val="-17"/>
        </w:rPr>
        <w:t xml:space="preserve"> </w:t>
      </w:r>
      <w:r>
        <w:t>DPOs in the programming, implementation and monitoring of EU funds.</w:t>
      </w:r>
    </w:p>
    <w:p w14:paraId="5885A980" w14:textId="77777777" w:rsidR="00161C10" w:rsidRDefault="00CE2C8C">
      <w:pPr>
        <w:pStyle w:val="BodyText"/>
        <w:spacing w:before="119" w:line="276" w:lineRule="auto"/>
        <w:ind w:left="360" w:right="354"/>
        <w:jc w:val="both"/>
      </w:pPr>
      <w:r>
        <w:t>ENIL</w:t>
      </w:r>
      <w:r>
        <w:rPr>
          <w:spacing w:val="-8"/>
        </w:rPr>
        <w:t xml:space="preserve"> </w:t>
      </w:r>
      <w:r>
        <w:t>members</w:t>
      </w:r>
      <w:r>
        <w:rPr>
          <w:spacing w:val="-10"/>
        </w:rPr>
        <w:t xml:space="preserve"> </w:t>
      </w:r>
      <w:r>
        <w:t>in</w:t>
      </w:r>
      <w:r>
        <w:rPr>
          <w:spacing w:val="-9"/>
        </w:rPr>
        <w:t xml:space="preserve"> </w:t>
      </w:r>
      <w:r>
        <w:t>the</w:t>
      </w:r>
      <w:r>
        <w:rPr>
          <w:spacing w:val="-8"/>
        </w:rPr>
        <w:t xml:space="preserve"> </w:t>
      </w:r>
      <w:r>
        <w:t>countries</w:t>
      </w:r>
      <w:r>
        <w:rPr>
          <w:spacing w:val="-9"/>
        </w:rPr>
        <w:t xml:space="preserve"> </w:t>
      </w:r>
      <w:r>
        <w:t>outside</w:t>
      </w:r>
      <w:r>
        <w:rPr>
          <w:spacing w:val="-8"/>
        </w:rPr>
        <w:t xml:space="preserve"> </w:t>
      </w:r>
      <w:r>
        <w:t>the</w:t>
      </w:r>
      <w:r>
        <w:rPr>
          <w:spacing w:val="-8"/>
        </w:rPr>
        <w:t xml:space="preserve"> </w:t>
      </w:r>
      <w:r>
        <w:t>EU</w:t>
      </w:r>
      <w:r>
        <w:rPr>
          <w:spacing w:val="-10"/>
        </w:rPr>
        <w:t xml:space="preserve"> </w:t>
      </w:r>
      <w:r>
        <w:t>have</w:t>
      </w:r>
      <w:r>
        <w:rPr>
          <w:spacing w:val="-8"/>
        </w:rPr>
        <w:t xml:space="preserve"> </w:t>
      </w:r>
      <w:r>
        <w:t>not</w:t>
      </w:r>
      <w:r>
        <w:rPr>
          <w:spacing w:val="-9"/>
        </w:rPr>
        <w:t xml:space="preserve"> </w:t>
      </w:r>
      <w:r>
        <w:t>reported</w:t>
      </w:r>
      <w:r>
        <w:rPr>
          <w:spacing w:val="-8"/>
        </w:rPr>
        <w:t xml:space="preserve"> </w:t>
      </w:r>
      <w:r>
        <w:t>any</w:t>
      </w:r>
      <w:r>
        <w:rPr>
          <w:spacing w:val="-9"/>
        </w:rPr>
        <w:t xml:space="preserve"> </w:t>
      </w:r>
      <w:r>
        <w:t>improvement</w:t>
      </w:r>
      <w:r>
        <w:rPr>
          <w:spacing w:val="-9"/>
        </w:rPr>
        <w:t xml:space="preserve"> </w:t>
      </w:r>
      <w:r>
        <w:t>in</w:t>
      </w:r>
      <w:r>
        <w:rPr>
          <w:spacing w:val="-9"/>
        </w:rPr>
        <w:t xml:space="preserve"> </w:t>
      </w:r>
      <w:r>
        <w:t>the situation since 2022, nor have we been provided with other evidence of progress in this area.</w:t>
      </w:r>
      <w:r>
        <w:rPr>
          <w:spacing w:val="-7"/>
        </w:rPr>
        <w:t xml:space="preserve"> </w:t>
      </w:r>
      <w:r>
        <w:t>What</w:t>
      </w:r>
      <w:r>
        <w:rPr>
          <w:spacing w:val="-5"/>
        </w:rPr>
        <w:t xml:space="preserve"> </w:t>
      </w:r>
      <w:r>
        <w:t>we</w:t>
      </w:r>
      <w:r>
        <w:rPr>
          <w:spacing w:val="-5"/>
        </w:rPr>
        <w:t xml:space="preserve"> </w:t>
      </w:r>
      <w:r>
        <w:t>consider</w:t>
      </w:r>
      <w:r>
        <w:rPr>
          <w:spacing w:val="-6"/>
        </w:rPr>
        <w:t xml:space="preserve"> </w:t>
      </w:r>
      <w:r>
        <w:t>to</w:t>
      </w:r>
      <w:r>
        <w:rPr>
          <w:spacing w:val="-4"/>
        </w:rPr>
        <w:t xml:space="preserve"> </w:t>
      </w:r>
      <w:r>
        <w:t>be</w:t>
      </w:r>
      <w:r>
        <w:rPr>
          <w:spacing w:val="-7"/>
        </w:rPr>
        <w:t xml:space="preserve"> </w:t>
      </w:r>
      <w:r>
        <w:t>a</w:t>
      </w:r>
      <w:r>
        <w:rPr>
          <w:spacing w:val="-5"/>
        </w:rPr>
        <w:t xml:space="preserve"> </w:t>
      </w:r>
      <w:r>
        <w:t>positive</w:t>
      </w:r>
      <w:r>
        <w:rPr>
          <w:spacing w:val="-7"/>
        </w:rPr>
        <w:t xml:space="preserve"> </w:t>
      </w:r>
      <w:r>
        <w:t>development</w:t>
      </w:r>
      <w:r>
        <w:rPr>
          <w:spacing w:val="-7"/>
        </w:rPr>
        <w:t xml:space="preserve"> </w:t>
      </w:r>
      <w:r>
        <w:t>is</w:t>
      </w:r>
      <w:r>
        <w:rPr>
          <w:spacing w:val="-6"/>
        </w:rPr>
        <w:t xml:space="preserve"> </w:t>
      </w:r>
      <w:r>
        <w:t>the</w:t>
      </w:r>
      <w:r>
        <w:rPr>
          <w:spacing w:val="-7"/>
        </w:rPr>
        <w:t xml:space="preserve"> </w:t>
      </w:r>
      <w:r>
        <w:t>adoption</w:t>
      </w:r>
      <w:r>
        <w:rPr>
          <w:spacing w:val="-7"/>
        </w:rPr>
        <w:t xml:space="preserve"> </w:t>
      </w:r>
      <w:r>
        <w:t>by</w:t>
      </w:r>
      <w:r>
        <w:rPr>
          <w:spacing w:val="-5"/>
        </w:rPr>
        <w:t xml:space="preserve"> </w:t>
      </w:r>
      <w:r>
        <w:t>DG</w:t>
      </w:r>
      <w:r>
        <w:rPr>
          <w:spacing w:val="-8"/>
        </w:rPr>
        <w:t xml:space="preserve"> </w:t>
      </w:r>
      <w:r>
        <w:t>EMPL</w:t>
      </w:r>
      <w:r>
        <w:rPr>
          <w:spacing w:val="-7"/>
        </w:rPr>
        <w:t xml:space="preserve"> </w:t>
      </w:r>
      <w:r>
        <w:t xml:space="preserve">of the </w:t>
      </w:r>
      <w:hyperlink r:id="rId40">
        <w:r>
          <w:rPr>
            <w:color w:val="1154CC"/>
            <w:u w:val="single" w:color="1154CC"/>
          </w:rPr>
          <w:t>Guidance on independent living and inclusion in the community of persons with</w:t>
        </w:r>
      </w:hyperlink>
      <w:r>
        <w:rPr>
          <w:color w:val="1154CC"/>
        </w:rPr>
        <w:t xml:space="preserve"> </w:t>
      </w:r>
      <w:hyperlink r:id="rId41">
        <w:r>
          <w:rPr>
            <w:color w:val="1154CC"/>
            <w:u w:val="single" w:color="1154CC"/>
          </w:rPr>
          <w:t>disabilities</w:t>
        </w:r>
        <w:r>
          <w:rPr>
            <w:color w:val="1154CC"/>
            <w:spacing w:val="-4"/>
            <w:u w:val="single" w:color="1154CC"/>
          </w:rPr>
          <w:t xml:space="preserve"> </w:t>
        </w:r>
        <w:r>
          <w:rPr>
            <w:color w:val="1154CC"/>
            <w:u w:val="single" w:color="1154CC"/>
          </w:rPr>
          <w:t>in</w:t>
        </w:r>
        <w:r>
          <w:rPr>
            <w:color w:val="1154CC"/>
            <w:spacing w:val="-4"/>
            <w:u w:val="single" w:color="1154CC"/>
          </w:rPr>
          <w:t xml:space="preserve"> </w:t>
        </w:r>
        <w:r>
          <w:rPr>
            <w:color w:val="1154CC"/>
            <w:u w:val="single" w:color="1154CC"/>
          </w:rPr>
          <w:t>the</w:t>
        </w:r>
        <w:r>
          <w:rPr>
            <w:color w:val="1154CC"/>
            <w:spacing w:val="-4"/>
            <w:u w:val="single" w:color="1154CC"/>
          </w:rPr>
          <w:t xml:space="preserve"> </w:t>
        </w:r>
        <w:r>
          <w:rPr>
            <w:color w:val="1154CC"/>
            <w:u w:val="single" w:color="1154CC"/>
          </w:rPr>
          <w:t>context</w:t>
        </w:r>
        <w:r>
          <w:rPr>
            <w:color w:val="1154CC"/>
            <w:spacing w:val="-4"/>
            <w:u w:val="single" w:color="1154CC"/>
          </w:rPr>
          <w:t xml:space="preserve"> </w:t>
        </w:r>
        <w:r>
          <w:rPr>
            <w:color w:val="1154CC"/>
            <w:u w:val="single" w:color="1154CC"/>
          </w:rPr>
          <w:t>of</w:t>
        </w:r>
        <w:r>
          <w:rPr>
            <w:color w:val="1154CC"/>
            <w:spacing w:val="-4"/>
            <w:u w:val="single" w:color="1154CC"/>
          </w:rPr>
          <w:t xml:space="preserve"> </w:t>
        </w:r>
        <w:r>
          <w:rPr>
            <w:color w:val="1154CC"/>
            <w:u w:val="single" w:color="1154CC"/>
          </w:rPr>
          <w:t>EU</w:t>
        </w:r>
        <w:r>
          <w:rPr>
            <w:color w:val="1154CC"/>
            <w:spacing w:val="-5"/>
            <w:u w:val="single" w:color="1154CC"/>
          </w:rPr>
          <w:t xml:space="preserve"> </w:t>
        </w:r>
        <w:r>
          <w:rPr>
            <w:color w:val="1154CC"/>
            <w:u w:val="single" w:color="1154CC"/>
          </w:rPr>
          <w:t>funding</w:t>
        </w:r>
      </w:hyperlink>
      <w:r>
        <w:rPr>
          <w:color w:val="1154CC"/>
        </w:rPr>
        <w:t xml:space="preserve"> </w:t>
      </w:r>
      <w:r>
        <w:t>in</w:t>
      </w:r>
      <w:r>
        <w:rPr>
          <w:spacing w:val="-4"/>
        </w:rPr>
        <w:t xml:space="preserve"> </w:t>
      </w:r>
      <w:r>
        <w:t>November</w:t>
      </w:r>
      <w:r>
        <w:rPr>
          <w:spacing w:val="-5"/>
        </w:rPr>
        <w:t xml:space="preserve"> </w:t>
      </w:r>
      <w:r>
        <w:t>2024,</w:t>
      </w:r>
      <w:r>
        <w:rPr>
          <w:spacing w:val="-4"/>
        </w:rPr>
        <w:t xml:space="preserve"> </w:t>
      </w:r>
      <w:r>
        <w:t>which</w:t>
      </w:r>
      <w:r>
        <w:rPr>
          <w:spacing w:val="-4"/>
        </w:rPr>
        <w:t xml:space="preserve"> </w:t>
      </w:r>
      <w:r>
        <w:t>extends</w:t>
      </w:r>
      <w:r>
        <w:rPr>
          <w:spacing w:val="-4"/>
        </w:rPr>
        <w:t xml:space="preserve"> </w:t>
      </w:r>
      <w:r>
        <w:t>to</w:t>
      </w:r>
      <w:r>
        <w:rPr>
          <w:spacing w:val="-3"/>
        </w:rPr>
        <w:t xml:space="preserve"> </w:t>
      </w:r>
      <w:r>
        <w:t>EU</w:t>
      </w:r>
      <w:r>
        <w:rPr>
          <w:spacing w:val="-5"/>
        </w:rPr>
        <w:t xml:space="preserve"> </w:t>
      </w:r>
      <w:r>
        <w:t>funds</w:t>
      </w:r>
      <w:r>
        <w:rPr>
          <w:spacing w:val="-4"/>
        </w:rPr>
        <w:t xml:space="preserve"> </w:t>
      </w:r>
      <w:r>
        <w:t>in external</w:t>
      </w:r>
      <w:r>
        <w:rPr>
          <w:spacing w:val="-2"/>
        </w:rPr>
        <w:t xml:space="preserve"> </w:t>
      </w:r>
      <w:r>
        <w:t>action. However, it is too early to tell</w:t>
      </w:r>
      <w:r>
        <w:rPr>
          <w:spacing w:val="-3"/>
        </w:rPr>
        <w:t xml:space="preserve"> </w:t>
      </w:r>
      <w:r>
        <w:t>what impact this guidance will</w:t>
      </w:r>
      <w:r>
        <w:rPr>
          <w:spacing w:val="-1"/>
        </w:rPr>
        <w:t xml:space="preserve"> </w:t>
      </w:r>
      <w:r>
        <w:t>have on the ground,</w:t>
      </w:r>
      <w:r>
        <w:rPr>
          <w:spacing w:val="-2"/>
        </w:rPr>
        <w:t xml:space="preserve"> </w:t>
      </w:r>
      <w:r>
        <w:t>especially considering</w:t>
      </w:r>
      <w:r>
        <w:rPr>
          <w:spacing w:val="-2"/>
        </w:rPr>
        <w:t xml:space="preserve"> </w:t>
      </w:r>
      <w:r>
        <w:t>that</w:t>
      </w:r>
      <w:r>
        <w:rPr>
          <w:spacing w:val="-2"/>
        </w:rPr>
        <w:t xml:space="preserve"> </w:t>
      </w:r>
      <w:r>
        <w:t>it is</w:t>
      </w:r>
      <w:r>
        <w:rPr>
          <w:spacing w:val="-3"/>
        </w:rPr>
        <w:t xml:space="preserve"> </w:t>
      </w:r>
      <w:r>
        <w:t>a</w:t>
      </w:r>
      <w:r>
        <w:rPr>
          <w:spacing w:val="-1"/>
        </w:rPr>
        <w:t xml:space="preserve"> </w:t>
      </w:r>
      <w:r>
        <w:t>Commission Notice</w:t>
      </w:r>
      <w:r>
        <w:rPr>
          <w:spacing w:val="-2"/>
        </w:rPr>
        <w:t xml:space="preserve"> </w:t>
      </w:r>
      <w:r>
        <w:t>and</w:t>
      </w:r>
      <w:r>
        <w:rPr>
          <w:spacing w:val="-1"/>
        </w:rPr>
        <w:t xml:space="preserve"> </w:t>
      </w:r>
      <w:r>
        <w:t>therefore is</w:t>
      </w:r>
      <w:r>
        <w:rPr>
          <w:spacing w:val="-2"/>
        </w:rPr>
        <w:t xml:space="preserve"> </w:t>
      </w:r>
      <w:r>
        <w:t>not</w:t>
      </w:r>
      <w:r>
        <w:rPr>
          <w:spacing w:val="-2"/>
        </w:rPr>
        <w:t xml:space="preserve"> </w:t>
      </w:r>
      <w:r>
        <w:t xml:space="preserve">legally </w:t>
      </w:r>
      <w:r>
        <w:rPr>
          <w:spacing w:val="-2"/>
        </w:rPr>
        <w:t>binding.</w:t>
      </w:r>
    </w:p>
    <w:p w14:paraId="1AC48877" w14:textId="77777777" w:rsidR="00161C10" w:rsidRDefault="00CE2C8C">
      <w:pPr>
        <w:spacing w:before="120"/>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00B40577" w14:textId="77777777" w:rsidR="00161C10" w:rsidRDefault="00CE2C8C">
      <w:pPr>
        <w:pStyle w:val="BodyText"/>
        <w:spacing w:before="3"/>
        <w:rPr>
          <w:rFonts w:ascii="Arial"/>
          <w:b/>
          <w:i/>
          <w:sz w:val="12"/>
        </w:rPr>
      </w:pPr>
      <w:r>
        <w:rPr>
          <w:rFonts w:ascii="Arial"/>
          <w:b/>
          <w:i/>
          <w:noProof/>
          <w:sz w:val="12"/>
        </w:rPr>
        <mc:AlternateContent>
          <mc:Choice Requires="wps">
            <w:drawing>
              <wp:anchor distT="0" distB="0" distL="0" distR="0" simplePos="0" relativeHeight="487592448" behindDoc="1" locked="0" layoutInCell="1" allowOverlap="1" wp14:anchorId="72FC8730" wp14:editId="5CDB2F27">
                <wp:simplePos x="0" y="0"/>
                <wp:positionH relativeFrom="page">
                  <wp:posOffset>843076</wp:posOffset>
                </wp:positionH>
                <wp:positionV relativeFrom="paragraph">
                  <wp:posOffset>108331</wp:posOffset>
                </wp:positionV>
                <wp:extent cx="6088380" cy="3253104"/>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3253104"/>
                        </a:xfrm>
                        <a:prstGeom prst="rect">
                          <a:avLst/>
                        </a:prstGeom>
                        <a:ln w="6095">
                          <a:solidFill>
                            <a:srgbClr val="000000"/>
                          </a:solidFill>
                          <a:prstDash val="solid"/>
                        </a:ln>
                      </wps:spPr>
                      <wps:txbx>
                        <w:txbxContent>
                          <w:p w14:paraId="27F62964" w14:textId="77777777" w:rsidR="00161C10" w:rsidRDefault="00CE2C8C">
                            <w:pPr>
                              <w:spacing w:before="19" w:line="276" w:lineRule="auto"/>
                              <w:ind w:left="108" w:right="104"/>
                              <w:jc w:val="both"/>
                              <w:rPr>
                                <w:rFonts w:ascii="Arial" w:hAnsi="Arial"/>
                                <w:b/>
                                <w:sz w:val="24"/>
                              </w:rPr>
                            </w:pPr>
                            <w:r>
                              <w:rPr>
                                <w:rFonts w:ascii="Arial" w:hAnsi="Arial"/>
                                <w:b/>
                                <w:sz w:val="24"/>
                              </w:rPr>
                              <w:t>The Committee asks the EU to ensure there is meaningful involvement disabled people and DPOs in the budgetary procedure, as well as preparation and implementation</w:t>
                            </w:r>
                            <w:r>
                              <w:rPr>
                                <w:rFonts w:ascii="Arial" w:hAnsi="Arial"/>
                                <w:b/>
                                <w:spacing w:val="-13"/>
                                <w:sz w:val="24"/>
                              </w:rPr>
                              <w:t xml:space="preserve"> </w:t>
                            </w:r>
                            <w:r>
                              <w:rPr>
                                <w:rFonts w:ascii="Arial" w:hAnsi="Arial"/>
                                <w:b/>
                                <w:sz w:val="24"/>
                              </w:rPr>
                              <w:t>of</w:t>
                            </w:r>
                            <w:r>
                              <w:rPr>
                                <w:rFonts w:ascii="Arial" w:hAnsi="Arial"/>
                                <w:b/>
                                <w:spacing w:val="-14"/>
                                <w:sz w:val="24"/>
                              </w:rPr>
                              <w:t xml:space="preserve"> </w:t>
                            </w:r>
                            <w:r>
                              <w:rPr>
                                <w:rFonts w:ascii="Arial" w:hAnsi="Arial"/>
                                <w:b/>
                                <w:sz w:val="24"/>
                              </w:rPr>
                              <w:t>the</w:t>
                            </w:r>
                            <w:r>
                              <w:rPr>
                                <w:rFonts w:ascii="Arial" w:hAnsi="Arial"/>
                                <w:b/>
                                <w:spacing w:val="-12"/>
                                <w:sz w:val="24"/>
                              </w:rPr>
                              <w:t xml:space="preserve"> </w:t>
                            </w:r>
                            <w:r>
                              <w:rPr>
                                <w:rFonts w:ascii="Arial" w:hAnsi="Arial"/>
                                <w:b/>
                                <w:sz w:val="24"/>
                              </w:rPr>
                              <w:t>relevant</w:t>
                            </w:r>
                            <w:r>
                              <w:rPr>
                                <w:rFonts w:ascii="Arial" w:hAnsi="Arial"/>
                                <w:b/>
                                <w:spacing w:val="-14"/>
                                <w:sz w:val="24"/>
                              </w:rPr>
                              <w:t xml:space="preserve"> </w:t>
                            </w:r>
                            <w:proofErr w:type="spellStart"/>
                            <w:r>
                              <w:rPr>
                                <w:rFonts w:ascii="Arial" w:hAnsi="Arial"/>
                                <w:b/>
                                <w:sz w:val="24"/>
                              </w:rPr>
                              <w:t>programmes</w:t>
                            </w:r>
                            <w:proofErr w:type="spellEnd"/>
                            <w:r>
                              <w:rPr>
                                <w:rFonts w:ascii="Arial" w:hAnsi="Arial"/>
                                <w:b/>
                                <w:sz w:val="24"/>
                              </w:rPr>
                              <w:t>.</w:t>
                            </w:r>
                            <w:r>
                              <w:rPr>
                                <w:rFonts w:ascii="Arial" w:hAnsi="Arial"/>
                                <w:b/>
                                <w:spacing w:val="-14"/>
                                <w:sz w:val="24"/>
                              </w:rPr>
                              <w:t xml:space="preserve"> </w:t>
                            </w:r>
                            <w:r>
                              <w:rPr>
                                <w:rFonts w:ascii="Arial" w:hAnsi="Arial"/>
                                <w:b/>
                                <w:sz w:val="24"/>
                              </w:rPr>
                              <w:t>The</w:t>
                            </w:r>
                            <w:r>
                              <w:rPr>
                                <w:rFonts w:ascii="Arial" w:hAnsi="Arial"/>
                                <w:b/>
                                <w:spacing w:val="-12"/>
                                <w:sz w:val="24"/>
                              </w:rPr>
                              <w:t xml:space="preserve"> </w:t>
                            </w:r>
                            <w:r>
                              <w:rPr>
                                <w:rFonts w:ascii="Arial" w:hAnsi="Arial"/>
                                <w:b/>
                                <w:sz w:val="24"/>
                              </w:rPr>
                              <w:t>EU</w:t>
                            </w:r>
                            <w:r>
                              <w:rPr>
                                <w:rFonts w:ascii="Arial" w:hAnsi="Arial"/>
                                <w:b/>
                                <w:spacing w:val="-15"/>
                                <w:sz w:val="24"/>
                              </w:rPr>
                              <w:t xml:space="preserve"> </w:t>
                            </w:r>
                            <w:r>
                              <w:rPr>
                                <w:rFonts w:ascii="Arial" w:hAnsi="Arial"/>
                                <w:b/>
                                <w:sz w:val="24"/>
                              </w:rPr>
                              <w:t>must</w:t>
                            </w:r>
                            <w:r>
                              <w:rPr>
                                <w:rFonts w:ascii="Arial" w:hAnsi="Arial"/>
                                <w:b/>
                                <w:spacing w:val="-13"/>
                                <w:sz w:val="24"/>
                              </w:rPr>
                              <w:t xml:space="preserve"> </w:t>
                            </w:r>
                            <w:r>
                              <w:rPr>
                                <w:rFonts w:ascii="Arial" w:hAnsi="Arial"/>
                                <w:b/>
                                <w:sz w:val="24"/>
                              </w:rPr>
                              <w:t>ensure</w:t>
                            </w:r>
                            <w:r>
                              <w:rPr>
                                <w:rFonts w:ascii="Arial" w:hAnsi="Arial"/>
                                <w:b/>
                                <w:spacing w:val="-12"/>
                                <w:sz w:val="24"/>
                              </w:rPr>
                              <w:t xml:space="preserve"> </w:t>
                            </w:r>
                            <w:r>
                              <w:rPr>
                                <w:rFonts w:ascii="Arial" w:hAnsi="Arial"/>
                                <w:b/>
                                <w:sz w:val="24"/>
                              </w:rPr>
                              <w:t>that</w:t>
                            </w:r>
                            <w:r>
                              <w:rPr>
                                <w:rFonts w:ascii="Arial" w:hAnsi="Arial"/>
                                <w:b/>
                                <w:spacing w:val="-13"/>
                                <w:sz w:val="24"/>
                              </w:rPr>
                              <w:t xml:space="preserve"> </w:t>
                            </w:r>
                            <w:r>
                              <w:rPr>
                                <w:rFonts w:ascii="Arial" w:hAnsi="Arial"/>
                                <w:b/>
                                <w:sz w:val="24"/>
                              </w:rPr>
                              <w:t>all</w:t>
                            </w:r>
                            <w:r>
                              <w:rPr>
                                <w:rFonts w:ascii="Arial" w:hAnsi="Arial"/>
                                <w:b/>
                                <w:spacing w:val="-14"/>
                                <w:sz w:val="24"/>
                              </w:rPr>
                              <w:t xml:space="preserve"> </w:t>
                            </w:r>
                            <w:r>
                              <w:rPr>
                                <w:rFonts w:ascii="Arial" w:hAnsi="Arial"/>
                                <w:b/>
                                <w:sz w:val="24"/>
                              </w:rPr>
                              <w:t>EU</w:t>
                            </w:r>
                            <w:r>
                              <w:rPr>
                                <w:rFonts w:ascii="Arial" w:hAnsi="Arial"/>
                                <w:b/>
                                <w:spacing w:val="-13"/>
                                <w:sz w:val="24"/>
                              </w:rPr>
                              <w:t xml:space="preserve"> </w:t>
                            </w:r>
                            <w:r>
                              <w:rPr>
                                <w:rFonts w:ascii="Arial" w:hAnsi="Arial"/>
                                <w:b/>
                                <w:sz w:val="24"/>
                              </w:rPr>
                              <w:t>funds, including</w:t>
                            </w:r>
                            <w:r>
                              <w:rPr>
                                <w:rFonts w:ascii="Arial" w:hAnsi="Arial"/>
                                <w:b/>
                                <w:spacing w:val="-9"/>
                                <w:sz w:val="24"/>
                              </w:rPr>
                              <w:t xml:space="preserve"> </w:t>
                            </w:r>
                            <w:r>
                              <w:rPr>
                                <w:rFonts w:ascii="Arial" w:hAnsi="Arial"/>
                                <w:b/>
                                <w:sz w:val="24"/>
                              </w:rPr>
                              <w:t>cohesion</w:t>
                            </w:r>
                            <w:r>
                              <w:rPr>
                                <w:rFonts w:ascii="Arial" w:hAnsi="Arial"/>
                                <w:b/>
                                <w:spacing w:val="-9"/>
                                <w:sz w:val="24"/>
                              </w:rPr>
                              <w:t xml:space="preserve"> </w:t>
                            </w:r>
                            <w:r>
                              <w:rPr>
                                <w:rFonts w:ascii="Arial" w:hAnsi="Arial"/>
                                <w:b/>
                                <w:sz w:val="24"/>
                              </w:rPr>
                              <w:t>funds,</w:t>
                            </w:r>
                            <w:r>
                              <w:rPr>
                                <w:rFonts w:ascii="Arial" w:hAnsi="Arial"/>
                                <w:b/>
                                <w:spacing w:val="-6"/>
                                <w:sz w:val="24"/>
                              </w:rPr>
                              <w:t xml:space="preserve"> </w:t>
                            </w:r>
                            <w:r>
                              <w:rPr>
                                <w:rFonts w:ascii="Arial" w:hAnsi="Arial"/>
                                <w:b/>
                                <w:sz w:val="24"/>
                              </w:rPr>
                              <w:t>development</w:t>
                            </w:r>
                            <w:r>
                              <w:rPr>
                                <w:rFonts w:ascii="Arial" w:hAnsi="Arial"/>
                                <w:b/>
                                <w:spacing w:val="-10"/>
                                <w:sz w:val="24"/>
                              </w:rPr>
                              <w:t xml:space="preserve"> </w:t>
                            </w:r>
                            <w:r>
                              <w:rPr>
                                <w:rFonts w:ascii="Arial" w:hAnsi="Arial"/>
                                <w:b/>
                                <w:sz w:val="24"/>
                              </w:rPr>
                              <w:t>and</w:t>
                            </w:r>
                            <w:r>
                              <w:rPr>
                                <w:rFonts w:ascii="Arial" w:hAnsi="Arial"/>
                                <w:b/>
                                <w:spacing w:val="-7"/>
                                <w:sz w:val="24"/>
                              </w:rPr>
                              <w:t xml:space="preserve"> </w:t>
                            </w:r>
                            <w:r>
                              <w:rPr>
                                <w:rFonts w:ascii="Arial" w:hAnsi="Arial"/>
                                <w:b/>
                                <w:sz w:val="24"/>
                              </w:rPr>
                              <w:t>humanitarian</w:t>
                            </w:r>
                            <w:r>
                              <w:rPr>
                                <w:rFonts w:ascii="Arial" w:hAnsi="Arial"/>
                                <w:b/>
                                <w:spacing w:val="-9"/>
                                <w:sz w:val="24"/>
                              </w:rPr>
                              <w:t xml:space="preserve"> </w:t>
                            </w:r>
                            <w:r>
                              <w:rPr>
                                <w:rFonts w:ascii="Arial" w:hAnsi="Arial"/>
                                <w:b/>
                                <w:sz w:val="24"/>
                              </w:rPr>
                              <w:t>aid,</w:t>
                            </w:r>
                            <w:r>
                              <w:rPr>
                                <w:rFonts w:ascii="Arial" w:hAnsi="Arial"/>
                                <w:b/>
                                <w:spacing w:val="-8"/>
                                <w:sz w:val="24"/>
                              </w:rPr>
                              <w:t xml:space="preserve"> </w:t>
                            </w:r>
                            <w:r>
                              <w:rPr>
                                <w:rFonts w:ascii="Arial" w:hAnsi="Arial"/>
                                <w:b/>
                                <w:sz w:val="24"/>
                              </w:rPr>
                              <w:t>and</w:t>
                            </w:r>
                            <w:r>
                              <w:rPr>
                                <w:rFonts w:ascii="Arial" w:hAnsi="Arial"/>
                                <w:b/>
                                <w:spacing w:val="-7"/>
                                <w:sz w:val="24"/>
                              </w:rPr>
                              <w:t xml:space="preserve"> </w:t>
                            </w:r>
                            <w:proofErr w:type="spellStart"/>
                            <w:r>
                              <w:rPr>
                                <w:rFonts w:ascii="Arial" w:hAnsi="Arial"/>
                                <w:b/>
                                <w:sz w:val="24"/>
                              </w:rPr>
                              <w:t>neighbourhood</w:t>
                            </w:r>
                            <w:proofErr w:type="spellEnd"/>
                            <w:r>
                              <w:rPr>
                                <w:rFonts w:ascii="Arial" w:hAnsi="Arial"/>
                                <w:b/>
                                <w:sz w:val="24"/>
                              </w:rPr>
                              <w:t xml:space="preserve"> funds, support </w:t>
                            </w:r>
                            <w:proofErr w:type="spellStart"/>
                            <w:r>
                              <w:rPr>
                                <w:rFonts w:ascii="Arial" w:hAnsi="Arial"/>
                                <w:b/>
                                <w:sz w:val="24"/>
                              </w:rPr>
                              <w:t>programmes</w:t>
                            </w:r>
                            <w:proofErr w:type="spellEnd"/>
                            <w:r>
                              <w:rPr>
                                <w:rFonts w:ascii="Arial" w:hAnsi="Arial"/>
                                <w:b/>
                                <w:sz w:val="24"/>
                              </w:rPr>
                              <w:t xml:space="preserve"> that advance independent living in a manner consistent with the UNCRPD, along with clear prohibitions of investing in institutions and other segregated settings. </w:t>
                            </w:r>
                            <w:proofErr w:type="gramStart"/>
                            <w:r>
                              <w:rPr>
                                <w:rFonts w:ascii="Arial" w:hAnsi="Arial"/>
                                <w:b/>
                                <w:sz w:val="24"/>
                              </w:rPr>
                              <w:t>In order to</w:t>
                            </w:r>
                            <w:proofErr w:type="gramEnd"/>
                            <w:r>
                              <w:rPr>
                                <w:rFonts w:ascii="Arial" w:hAnsi="Arial"/>
                                <w:b/>
                                <w:sz w:val="24"/>
                              </w:rPr>
                              <w:t xml:space="preserve"> do this, the European Commission must improve the monitoring of all EU funds, by establishing and financing a platform with all the relevant stakeholders at EU level - focused specifically</w:t>
                            </w:r>
                            <w:r>
                              <w:rPr>
                                <w:rFonts w:ascii="Arial" w:hAnsi="Arial"/>
                                <w:b/>
                                <w:spacing w:val="-8"/>
                                <w:sz w:val="24"/>
                              </w:rPr>
                              <w:t xml:space="preserve"> </w:t>
                            </w:r>
                            <w:r>
                              <w:rPr>
                                <w:rFonts w:ascii="Arial" w:hAnsi="Arial"/>
                                <w:b/>
                                <w:sz w:val="24"/>
                              </w:rPr>
                              <w:t>on</w:t>
                            </w:r>
                            <w:r>
                              <w:rPr>
                                <w:rFonts w:ascii="Arial" w:hAnsi="Arial"/>
                                <w:b/>
                                <w:spacing w:val="-12"/>
                                <w:sz w:val="24"/>
                              </w:rPr>
                              <w:t xml:space="preserve"> </w:t>
                            </w:r>
                            <w:r>
                              <w:rPr>
                                <w:rFonts w:ascii="Arial" w:hAnsi="Arial"/>
                                <w:b/>
                                <w:sz w:val="24"/>
                              </w:rPr>
                              <w:t>monitoring</w:t>
                            </w:r>
                            <w:r>
                              <w:rPr>
                                <w:rFonts w:ascii="Arial" w:hAnsi="Arial"/>
                                <w:b/>
                                <w:spacing w:val="-9"/>
                                <w:sz w:val="24"/>
                              </w:rPr>
                              <w:t xml:space="preserve"> </w:t>
                            </w:r>
                            <w:r>
                              <w:rPr>
                                <w:rFonts w:ascii="Arial" w:hAnsi="Arial"/>
                                <w:b/>
                                <w:sz w:val="24"/>
                              </w:rPr>
                              <w:t>compliance</w:t>
                            </w:r>
                            <w:r>
                              <w:rPr>
                                <w:rFonts w:ascii="Arial" w:hAnsi="Arial"/>
                                <w:b/>
                                <w:spacing w:val="-10"/>
                                <w:sz w:val="24"/>
                              </w:rPr>
                              <w:t xml:space="preserve"> </w:t>
                            </w:r>
                            <w:r>
                              <w:rPr>
                                <w:rFonts w:ascii="Arial" w:hAnsi="Arial"/>
                                <w:b/>
                                <w:sz w:val="24"/>
                              </w:rPr>
                              <w:t>with</w:t>
                            </w:r>
                            <w:r>
                              <w:rPr>
                                <w:rFonts w:ascii="Arial" w:hAnsi="Arial"/>
                                <w:b/>
                                <w:spacing w:val="-9"/>
                                <w:sz w:val="24"/>
                              </w:rPr>
                              <w:t xml:space="preserve"> </w:t>
                            </w:r>
                            <w:r>
                              <w:rPr>
                                <w:rFonts w:ascii="Arial" w:hAnsi="Arial"/>
                                <w:b/>
                                <w:sz w:val="24"/>
                              </w:rPr>
                              <w:t>the</w:t>
                            </w:r>
                            <w:r>
                              <w:rPr>
                                <w:rFonts w:ascii="Arial" w:hAnsi="Arial"/>
                                <w:b/>
                                <w:spacing w:val="-8"/>
                                <w:sz w:val="24"/>
                              </w:rPr>
                              <w:t xml:space="preserve"> </w:t>
                            </w:r>
                            <w:r>
                              <w:rPr>
                                <w:rFonts w:ascii="Arial" w:hAnsi="Arial"/>
                                <w:b/>
                                <w:sz w:val="24"/>
                              </w:rPr>
                              <w:t>UNCRPD</w:t>
                            </w:r>
                            <w:r>
                              <w:rPr>
                                <w:rFonts w:ascii="Arial" w:hAnsi="Arial"/>
                                <w:b/>
                                <w:spacing w:val="-5"/>
                                <w:sz w:val="24"/>
                              </w:rPr>
                              <w:t xml:space="preserve"> </w:t>
                            </w:r>
                            <w:r>
                              <w:rPr>
                                <w:rFonts w:ascii="Arial" w:hAnsi="Arial"/>
                                <w:b/>
                                <w:sz w:val="24"/>
                              </w:rPr>
                              <w:t>-</w:t>
                            </w:r>
                            <w:r>
                              <w:rPr>
                                <w:rFonts w:ascii="Arial" w:hAnsi="Arial"/>
                                <w:b/>
                                <w:spacing w:val="-9"/>
                                <w:sz w:val="24"/>
                              </w:rPr>
                              <w:t xml:space="preserve"> </w:t>
                            </w:r>
                            <w:r>
                              <w:rPr>
                                <w:rFonts w:ascii="Arial" w:hAnsi="Arial"/>
                                <w:b/>
                                <w:sz w:val="24"/>
                              </w:rPr>
                              <w:t>and</w:t>
                            </w:r>
                            <w:r>
                              <w:rPr>
                                <w:rFonts w:ascii="Arial" w:hAnsi="Arial"/>
                                <w:b/>
                                <w:spacing w:val="-14"/>
                                <w:sz w:val="24"/>
                              </w:rPr>
                              <w:t xml:space="preserve"> </w:t>
                            </w:r>
                            <w:r>
                              <w:rPr>
                                <w:rFonts w:ascii="Arial" w:hAnsi="Arial"/>
                                <w:b/>
                                <w:sz w:val="24"/>
                              </w:rPr>
                              <w:t>by</w:t>
                            </w:r>
                            <w:r>
                              <w:rPr>
                                <w:rFonts w:ascii="Arial" w:hAnsi="Arial"/>
                                <w:b/>
                                <w:spacing w:val="-8"/>
                                <w:sz w:val="24"/>
                              </w:rPr>
                              <w:t xml:space="preserve"> </w:t>
                            </w:r>
                            <w:r>
                              <w:rPr>
                                <w:rFonts w:ascii="Arial" w:hAnsi="Arial"/>
                                <w:b/>
                                <w:sz w:val="24"/>
                              </w:rPr>
                              <w:t>ensuring</w:t>
                            </w:r>
                            <w:r>
                              <w:rPr>
                                <w:rFonts w:ascii="Arial" w:hAnsi="Arial"/>
                                <w:b/>
                                <w:spacing w:val="-9"/>
                                <w:sz w:val="24"/>
                              </w:rPr>
                              <w:t xml:space="preserve"> </w:t>
                            </w:r>
                            <w:r>
                              <w:rPr>
                                <w:rFonts w:ascii="Arial" w:hAnsi="Arial"/>
                                <w:b/>
                                <w:sz w:val="24"/>
                              </w:rPr>
                              <w:t>that</w:t>
                            </w:r>
                            <w:r>
                              <w:rPr>
                                <w:rFonts w:ascii="Arial" w:hAnsi="Arial"/>
                                <w:b/>
                                <w:spacing w:val="-9"/>
                                <w:sz w:val="24"/>
                              </w:rPr>
                              <w:t xml:space="preserve"> </w:t>
                            </w:r>
                            <w:r>
                              <w:rPr>
                                <w:rFonts w:ascii="Arial" w:hAnsi="Arial"/>
                                <w:b/>
                                <w:sz w:val="24"/>
                              </w:rPr>
                              <w:t>MS use the technical assistance funding to establish similar platforms at the national level. Finally, the Commission should collect data on how many MS use technical assistance to</w:t>
                            </w:r>
                            <w:r>
                              <w:rPr>
                                <w:rFonts w:ascii="Arial" w:hAnsi="Arial"/>
                                <w:b/>
                                <w:spacing w:val="-1"/>
                                <w:sz w:val="24"/>
                              </w:rPr>
                              <w:t xml:space="preserve"> </w:t>
                            </w:r>
                            <w:r>
                              <w:rPr>
                                <w:rFonts w:ascii="Arial" w:hAnsi="Arial"/>
                                <w:b/>
                                <w:sz w:val="24"/>
                              </w:rPr>
                              <w:t>build the capacity of</w:t>
                            </w:r>
                            <w:r>
                              <w:rPr>
                                <w:rFonts w:ascii="Arial" w:hAnsi="Arial"/>
                                <w:b/>
                                <w:spacing w:val="-1"/>
                                <w:sz w:val="24"/>
                              </w:rPr>
                              <w:t xml:space="preserve"> </w:t>
                            </w:r>
                            <w:r>
                              <w:rPr>
                                <w:rFonts w:ascii="Arial" w:hAnsi="Arial"/>
                                <w:b/>
                                <w:sz w:val="24"/>
                              </w:rPr>
                              <w:t xml:space="preserve">disabled people’s </w:t>
                            </w:r>
                            <w:proofErr w:type="spellStart"/>
                            <w:r>
                              <w:rPr>
                                <w:rFonts w:ascii="Arial" w:hAnsi="Arial"/>
                                <w:b/>
                                <w:sz w:val="24"/>
                              </w:rPr>
                              <w:t>organisations</w:t>
                            </w:r>
                            <w:proofErr w:type="spellEnd"/>
                            <w:r>
                              <w:rPr>
                                <w:rFonts w:ascii="Arial" w:hAnsi="Arial"/>
                                <w:b/>
                                <w:sz w:val="24"/>
                              </w:rPr>
                              <w:t xml:space="preserve"> and other civil society to participate in the preparation, implementation and monitoring of </w:t>
                            </w:r>
                            <w:proofErr w:type="spellStart"/>
                            <w:r>
                              <w:rPr>
                                <w:rFonts w:ascii="Arial" w:hAnsi="Arial"/>
                                <w:b/>
                                <w:sz w:val="24"/>
                              </w:rPr>
                              <w:t>programmes</w:t>
                            </w:r>
                            <w:proofErr w:type="spellEnd"/>
                            <w:r>
                              <w:rPr>
                                <w:rFonts w:ascii="Arial" w:hAnsi="Arial"/>
                                <w:b/>
                                <w:sz w:val="24"/>
                              </w:rPr>
                              <w:t>; where</w:t>
                            </w:r>
                            <w:r>
                              <w:rPr>
                                <w:rFonts w:ascii="Arial" w:hAnsi="Arial"/>
                                <w:b/>
                                <w:spacing w:val="-2"/>
                                <w:sz w:val="24"/>
                              </w:rPr>
                              <w:t xml:space="preserve"> </w:t>
                            </w:r>
                            <w:r>
                              <w:rPr>
                                <w:rFonts w:ascii="Arial" w:hAnsi="Arial"/>
                                <w:b/>
                                <w:sz w:val="24"/>
                              </w:rPr>
                              <w:t>MS fail to</w:t>
                            </w:r>
                            <w:r>
                              <w:rPr>
                                <w:rFonts w:ascii="Arial" w:hAnsi="Arial"/>
                                <w:b/>
                                <w:spacing w:val="-1"/>
                                <w:sz w:val="24"/>
                              </w:rPr>
                              <w:t xml:space="preserve"> </w:t>
                            </w:r>
                            <w:r>
                              <w:rPr>
                                <w:rFonts w:ascii="Arial" w:hAnsi="Arial"/>
                                <w:b/>
                                <w:sz w:val="24"/>
                              </w:rPr>
                              <w:t>do this, the Commission should</w:t>
                            </w:r>
                            <w:r>
                              <w:rPr>
                                <w:rFonts w:ascii="Arial" w:hAnsi="Arial"/>
                                <w:b/>
                                <w:spacing w:val="-2"/>
                                <w:sz w:val="24"/>
                              </w:rPr>
                              <w:t xml:space="preserve"> </w:t>
                            </w:r>
                            <w:r>
                              <w:rPr>
                                <w:rFonts w:ascii="Arial" w:hAnsi="Arial"/>
                                <w:b/>
                                <w:sz w:val="24"/>
                              </w:rPr>
                              <w:t>apply sanctions or undertake other actions to ensure compliance.</w:t>
                            </w:r>
                          </w:p>
                        </w:txbxContent>
                      </wps:txbx>
                      <wps:bodyPr wrap="square" lIns="0" tIns="0" rIns="0" bIns="0" rtlCol="0">
                        <a:noAutofit/>
                      </wps:bodyPr>
                    </wps:wsp>
                  </a:graphicData>
                </a:graphic>
              </wp:anchor>
            </w:drawing>
          </mc:Choice>
          <mc:Fallback>
            <w:pict>
              <v:shape w14:anchorId="72FC8730" id="Textbox 16" o:spid="_x0000_s1035" type="#_x0000_t202" style="position:absolute;margin-left:66.4pt;margin-top:8.55pt;width:479.4pt;height:256.1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" filled="f" strokeweight=".16931mm">
                <v:path arrowok="t"/>
                <v:textbox inset="0,0,0,0">
                  <w:txbxContent>
                    <w:p w14:paraId="27F62964" w14:textId="77777777" w:rsidR="00161C10" w:rsidRDefault="00CE2C8C">
                      <w:pPr>
                        <w:spacing w:before="19" w:line="276" w:lineRule="auto"/>
                        <w:ind w:left="108" w:right="104"/>
                        <w:jc w:val="both"/>
                        <w:rPr>
                          <w:rFonts w:ascii="Arial" w:hAnsi="Arial"/>
                          <w:b/>
                          <w:sz w:val="24"/>
                        </w:rPr>
                      </w:pPr>
                      <w:r>
                        <w:rPr>
                          <w:rFonts w:ascii="Arial" w:hAnsi="Arial"/>
                          <w:b/>
                          <w:sz w:val="24"/>
                        </w:rPr>
                        <w:t>The Committee asks the EU to ensure there is meaningful involvement disabled people and DPOs in the budgetary procedure, as well as preparation and implementation</w:t>
                      </w:r>
                      <w:r>
                        <w:rPr>
                          <w:rFonts w:ascii="Arial" w:hAnsi="Arial"/>
                          <w:b/>
                          <w:spacing w:val="-13"/>
                          <w:sz w:val="24"/>
                        </w:rPr>
                        <w:t xml:space="preserve"> </w:t>
                      </w:r>
                      <w:r>
                        <w:rPr>
                          <w:rFonts w:ascii="Arial" w:hAnsi="Arial"/>
                          <w:b/>
                          <w:sz w:val="24"/>
                        </w:rPr>
                        <w:t>of</w:t>
                      </w:r>
                      <w:r>
                        <w:rPr>
                          <w:rFonts w:ascii="Arial" w:hAnsi="Arial"/>
                          <w:b/>
                          <w:spacing w:val="-14"/>
                          <w:sz w:val="24"/>
                        </w:rPr>
                        <w:t xml:space="preserve"> </w:t>
                      </w:r>
                      <w:r>
                        <w:rPr>
                          <w:rFonts w:ascii="Arial" w:hAnsi="Arial"/>
                          <w:b/>
                          <w:sz w:val="24"/>
                        </w:rPr>
                        <w:t>the</w:t>
                      </w:r>
                      <w:r>
                        <w:rPr>
                          <w:rFonts w:ascii="Arial" w:hAnsi="Arial"/>
                          <w:b/>
                          <w:spacing w:val="-12"/>
                          <w:sz w:val="24"/>
                        </w:rPr>
                        <w:t xml:space="preserve"> </w:t>
                      </w:r>
                      <w:r>
                        <w:rPr>
                          <w:rFonts w:ascii="Arial" w:hAnsi="Arial"/>
                          <w:b/>
                          <w:sz w:val="24"/>
                        </w:rPr>
                        <w:t>relevant</w:t>
                      </w:r>
                      <w:r>
                        <w:rPr>
                          <w:rFonts w:ascii="Arial" w:hAnsi="Arial"/>
                          <w:b/>
                          <w:spacing w:val="-14"/>
                          <w:sz w:val="24"/>
                        </w:rPr>
                        <w:t xml:space="preserve"> </w:t>
                      </w:r>
                      <w:proofErr w:type="spellStart"/>
                      <w:r>
                        <w:rPr>
                          <w:rFonts w:ascii="Arial" w:hAnsi="Arial"/>
                          <w:b/>
                          <w:sz w:val="24"/>
                        </w:rPr>
                        <w:t>programmes</w:t>
                      </w:r>
                      <w:proofErr w:type="spellEnd"/>
                      <w:r>
                        <w:rPr>
                          <w:rFonts w:ascii="Arial" w:hAnsi="Arial"/>
                          <w:b/>
                          <w:sz w:val="24"/>
                        </w:rPr>
                        <w:t>.</w:t>
                      </w:r>
                      <w:r>
                        <w:rPr>
                          <w:rFonts w:ascii="Arial" w:hAnsi="Arial"/>
                          <w:b/>
                          <w:spacing w:val="-14"/>
                          <w:sz w:val="24"/>
                        </w:rPr>
                        <w:t xml:space="preserve"> </w:t>
                      </w:r>
                      <w:r>
                        <w:rPr>
                          <w:rFonts w:ascii="Arial" w:hAnsi="Arial"/>
                          <w:b/>
                          <w:sz w:val="24"/>
                        </w:rPr>
                        <w:t>The</w:t>
                      </w:r>
                      <w:r>
                        <w:rPr>
                          <w:rFonts w:ascii="Arial" w:hAnsi="Arial"/>
                          <w:b/>
                          <w:spacing w:val="-12"/>
                          <w:sz w:val="24"/>
                        </w:rPr>
                        <w:t xml:space="preserve"> </w:t>
                      </w:r>
                      <w:r>
                        <w:rPr>
                          <w:rFonts w:ascii="Arial" w:hAnsi="Arial"/>
                          <w:b/>
                          <w:sz w:val="24"/>
                        </w:rPr>
                        <w:t>EU</w:t>
                      </w:r>
                      <w:r>
                        <w:rPr>
                          <w:rFonts w:ascii="Arial" w:hAnsi="Arial"/>
                          <w:b/>
                          <w:spacing w:val="-15"/>
                          <w:sz w:val="24"/>
                        </w:rPr>
                        <w:t xml:space="preserve"> </w:t>
                      </w:r>
                      <w:r>
                        <w:rPr>
                          <w:rFonts w:ascii="Arial" w:hAnsi="Arial"/>
                          <w:b/>
                          <w:sz w:val="24"/>
                        </w:rPr>
                        <w:t>must</w:t>
                      </w:r>
                      <w:r>
                        <w:rPr>
                          <w:rFonts w:ascii="Arial" w:hAnsi="Arial"/>
                          <w:b/>
                          <w:spacing w:val="-13"/>
                          <w:sz w:val="24"/>
                        </w:rPr>
                        <w:t xml:space="preserve"> </w:t>
                      </w:r>
                      <w:r>
                        <w:rPr>
                          <w:rFonts w:ascii="Arial" w:hAnsi="Arial"/>
                          <w:b/>
                          <w:sz w:val="24"/>
                        </w:rPr>
                        <w:t>ensure</w:t>
                      </w:r>
                      <w:r>
                        <w:rPr>
                          <w:rFonts w:ascii="Arial" w:hAnsi="Arial"/>
                          <w:b/>
                          <w:spacing w:val="-12"/>
                          <w:sz w:val="24"/>
                        </w:rPr>
                        <w:t xml:space="preserve"> </w:t>
                      </w:r>
                      <w:r>
                        <w:rPr>
                          <w:rFonts w:ascii="Arial" w:hAnsi="Arial"/>
                          <w:b/>
                          <w:sz w:val="24"/>
                        </w:rPr>
                        <w:t>that</w:t>
                      </w:r>
                      <w:r>
                        <w:rPr>
                          <w:rFonts w:ascii="Arial" w:hAnsi="Arial"/>
                          <w:b/>
                          <w:spacing w:val="-13"/>
                          <w:sz w:val="24"/>
                        </w:rPr>
                        <w:t xml:space="preserve"> </w:t>
                      </w:r>
                      <w:r>
                        <w:rPr>
                          <w:rFonts w:ascii="Arial" w:hAnsi="Arial"/>
                          <w:b/>
                          <w:sz w:val="24"/>
                        </w:rPr>
                        <w:t>all</w:t>
                      </w:r>
                      <w:r>
                        <w:rPr>
                          <w:rFonts w:ascii="Arial" w:hAnsi="Arial"/>
                          <w:b/>
                          <w:spacing w:val="-14"/>
                          <w:sz w:val="24"/>
                        </w:rPr>
                        <w:t xml:space="preserve"> </w:t>
                      </w:r>
                      <w:r>
                        <w:rPr>
                          <w:rFonts w:ascii="Arial" w:hAnsi="Arial"/>
                          <w:b/>
                          <w:sz w:val="24"/>
                        </w:rPr>
                        <w:t>EU</w:t>
                      </w:r>
                      <w:r>
                        <w:rPr>
                          <w:rFonts w:ascii="Arial" w:hAnsi="Arial"/>
                          <w:b/>
                          <w:spacing w:val="-13"/>
                          <w:sz w:val="24"/>
                        </w:rPr>
                        <w:t xml:space="preserve"> </w:t>
                      </w:r>
                      <w:r>
                        <w:rPr>
                          <w:rFonts w:ascii="Arial" w:hAnsi="Arial"/>
                          <w:b/>
                          <w:sz w:val="24"/>
                        </w:rPr>
                        <w:t>funds, including</w:t>
                      </w:r>
                      <w:r>
                        <w:rPr>
                          <w:rFonts w:ascii="Arial" w:hAnsi="Arial"/>
                          <w:b/>
                          <w:spacing w:val="-9"/>
                          <w:sz w:val="24"/>
                        </w:rPr>
                        <w:t xml:space="preserve"> </w:t>
                      </w:r>
                      <w:r>
                        <w:rPr>
                          <w:rFonts w:ascii="Arial" w:hAnsi="Arial"/>
                          <w:b/>
                          <w:sz w:val="24"/>
                        </w:rPr>
                        <w:t>cohesion</w:t>
                      </w:r>
                      <w:r>
                        <w:rPr>
                          <w:rFonts w:ascii="Arial" w:hAnsi="Arial"/>
                          <w:b/>
                          <w:spacing w:val="-9"/>
                          <w:sz w:val="24"/>
                        </w:rPr>
                        <w:t xml:space="preserve"> </w:t>
                      </w:r>
                      <w:r>
                        <w:rPr>
                          <w:rFonts w:ascii="Arial" w:hAnsi="Arial"/>
                          <w:b/>
                          <w:sz w:val="24"/>
                        </w:rPr>
                        <w:t>funds,</w:t>
                      </w:r>
                      <w:r>
                        <w:rPr>
                          <w:rFonts w:ascii="Arial" w:hAnsi="Arial"/>
                          <w:b/>
                          <w:spacing w:val="-6"/>
                          <w:sz w:val="24"/>
                        </w:rPr>
                        <w:t xml:space="preserve"> </w:t>
                      </w:r>
                      <w:r>
                        <w:rPr>
                          <w:rFonts w:ascii="Arial" w:hAnsi="Arial"/>
                          <w:b/>
                          <w:sz w:val="24"/>
                        </w:rPr>
                        <w:t>development</w:t>
                      </w:r>
                      <w:r>
                        <w:rPr>
                          <w:rFonts w:ascii="Arial" w:hAnsi="Arial"/>
                          <w:b/>
                          <w:spacing w:val="-10"/>
                          <w:sz w:val="24"/>
                        </w:rPr>
                        <w:t xml:space="preserve"> </w:t>
                      </w:r>
                      <w:r>
                        <w:rPr>
                          <w:rFonts w:ascii="Arial" w:hAnsi="Arial"/>
                          <w:b/>
                          <w:sz w:val="24"/>
                        </w:rPr>
                        <w:t>and</w:t>
                      </w:r>
                      <w:r>
                        <w:rPr>
                          <w:rFonts w:ascii="Arial" w:hAnsi="Arial"/>
                          <w:b/>
                          <w:spacing w:val="-7"/>
                          <w:sz w:val="24"/>
                        </w:rPr>
                        <w:t xml:space="preserve"> </w:t>
                      </w:r>
                      <w:r>
                        <w:rPr>
                          <w:rFonts w:ascii="Arial" w:hAnsi="Arial"/>
                          <w:b/>
                          <w:sz w:val="24"/>
                        </w:rPr>
                        <w:t>humanitarian</w:t>
                      </w:r>
                      <w:r>
                        <w:rPr>
                          <w:rFonts w:ascii="Arial" w:hAnsi="Arial"/>
                          <w:b/>
                          <w:spacing w:val="-9"/>
                          <w:sz w:val="24"/>
                        </w:rPr>
                        <w:t xml:space="preserve"> </w:t>
                      </w:r>
                      <w:r>
                        <w:rPr>
                          <w:rFonts w:ascii="Arial" w:hAnsi="Arial"/>
                          <w:b/>
                          <w:sz w:val="24"/>
                        </w:rPr>
                        <w:t>aid,</w:t>
                      </w:r>
                      <w:r>
                        <w:rPr>
                          <w:rFonts w:ascii="Arial" w:hAnsi="Arial"/>
                          <w:b/>
                          <w:spacing w:val="-8"/>
                          <w:sz w:val="24"/>
                        </w:rPr>
                        <w:t xml:space="preserve"> </w:t>
                      </w:r>
                      <w:r>
                        <w:rPr>
                          <w:rFonts w:ascii="Arial" w:hAnsi="Arial"/>
                          <w:b/>
                          <w:sz w:val="24"/>
                        </w:rPr>
                        <w:t>and</w:t>
                      </w:r>
                      <w:r>
                        <w:rPr>
                          <w:rFonts w:ascii="Arial" w:hAnsi="Arial"/>
                          <w:b/>
                          <w:spacing w:val="-7"/>
                          <w:sz w:val="24"/>
                        </w:rPr>
                        <w:t xml:space="preserve"> </w:t>
                      </w:r>
                      <w:proofErr w:type="spellStart"/>
                      <w:r>
                        <w:rPr>
                          <w:rFonts w:ascii="Arial" w:hAnsi="Arial"/>
                          <w:b/>
                          <w:sz w:val="24"/>
                        </w:rPr>
                        <w:t>neighbourhood</w:t>
                      </w:r>
                      <w:proofErr w:type="spellEnd"/>
                      <w:r>
                        <w:rPr>
                          <w:rFonts w:ascii="Arial" w:hAnsi="Arial"/>
                          <w:b/>
                          <w:sz w:val="24"/>
                        </w:rPr>
                        <w:t xml:space="preserve"> funds, support </w:t>
                      </w:r>
                      <w:proofErr w:type="spellStart"/>
                      <w:r>
                        <w:rPr>
                          <w:rFonts w:ascii="Arial" w:hAnsi="Arial"/>
                          <w:b/>
                          <w:sz w:val="24"/>
                        </w:rPr>
                        <w:t>programmes</w:t>
                      </w:r>
                      <w:proofErr w:type="spellEnd"/>
                      <w:r>
                        <w:rPr>
                          <w:rFonts w:ascii="Arial" w:hAnsi="Arial"/>
                          <w:b/>
                          <w:sz w:val="24"/>
                        </w:rPr>
                        <w:t xml:space="preserve"> that advance independent living in a manner consistent with the UNCRPD, along with clear prohibitions of investing in institutions and other segregated settings. </w:t>
                      </w:r>
                      <w:proofErr w:type="gramStart"/>
                      <w:r>
                        <w:rPr>
                          <w:rFonts w:ascii="Arial" w:hAnsi="Arial"/>
                          <w:b/>
                          <w:sz w:val="24"/>
                        </w:rPr>
                        <w:t>In order to</w:t>
                      </w:r>
                      <w:proofErr w:type="gramEnd"/>
                      <w:r>
                        <w:rPr>
                          <w:rFonts w:ascii="Arial" w:hAnsi="Arial"/>
                          <w:b/>
                          <w:sz w:val="24"/>
                        </w:rPr>
                        <w:t xml:space="preserve"> do this, the European Commission must improve the monitoring of all EU funds, by establishing and financing a platform with all the relevant stakeholders at EU level - focused specifically</w:t>
                      </w:r>
                      <w:r>
                        <w:rPr>
                          <w:rFonts w:ascii="Arial" w:hAnsi="Arial"/>
                          <w:b/>
                          <w:spacing w:val="-8"/>
                          <w:sz w:val="24"/>
                        </w:rPr>
                        <w:t xml:space="preserve"> </w:t>
                      </w:r>
                      <w:r>
                        <w:rPr>
                          <w:rFonts w:ascii="Arial" w:hAnsi="Arial"/>
                          <w:b/>
                          <w:sz w:val="24"/>
                        </w:rPr>
                        <w:t>on</w:t>
                      </w:r>
                      <w:r>
                        <w:rPr>
                          <w:rFonts w:ascii="Arial" w:hAnsi="Arial"/>
                          <w:b/>
                          <w:spacing w:val="-12"/>
                          <w:sz w:val="24"/>
                        </w:rPr>
                        <w:t xml:space="preserve"> </w:t>
                      </w:r>
                      <w:r>
                        <w:rPr>
                          <w:rFonts w:ascii="Arial" w:hAnsi="Arial"/>
                          <w:b/>
                          <w:sz w:val="24"/>
                        </w:rPr>
                        <w:t>monitoring</w:t>
                      </w:r>
                      <w:r>
                        <w:rPr>
                          <w:rFonts w:ascii="Arial" w:hAnsi="Arial"/>
                          <w:b/>
                          <w:spacing w:val="-9"/>
                          <w:sz w:val="24"/>
                        </w:rPr>
                        <w:t xml:space="preserve"> </w:t>
                      </w:r>
                      <w:r>
                        <w:rPr>
                          <w:rFonts w:ascii="Arial" w:hAnsi="Arial"/>
                          <w:b/>
                          <w:sz w:val="24"/>
                        </w:rPr>
                        <w:t>compliance</w:t>
                      </w:r>
                      <w:r>
                        <w:rPr>
                          <w:rFonts w:ascii="Arial" w:hAnsi="Arial"/>
                          <w:b/>
                          <w:spacing w:val="-10"/>
                          <w:sz w:val="24"/>
                        </w:rPr>
                        <w:t xml:space="preserve"> </w:t>
                      </w:r>
                      <w:r>
                        <w:rPr>
                          <w:rFonts w:ascii="Arial" w:hAnsi="Arial"/>
                          <w:b/>
                          <w:sz w:val="24"/>
                        </w:rPr>
                        <w:t>with</w:t>
                      </w:r>
                      <w:r>
                        <w:rPr>
                          <w:rFonts w:ascii="Arial" w:hAnsi="Arial"/>
                          <w:b/>
                          <w:spacing w:val="-9"/>
                          <w:sz w:val="24"/>
                        </w:rPr>
                        <w:t xml:space="preserve"> </w:t>
                      </w:r>
                      <w:r>
                        <w:rPr>
                          <w:rFonts w:ascii="Arial" w:hAnsi="Arial"/>
                          <w:b/>
                          <w:sz w:val="24"/>
                        </w:rPr>
                        <w:t>the</w:t>
                      </w:r>
                      <w:r>
                        <w:rPr>
                          <w:rFonts w:ascii="Arial" w:hAnsi="Arial"/>
                          <w:b/>
                          <w:spacing w:val="-8"/>
                          <w:sz w:val="24"/>
                        </w:rPr>
                        <w:t xml:space="preserve"> </w:t>
                      </w:r>
                      <w:r>
                        <w:rPr>
                          <w:rFonts w:ascii="Arial" w:hAnsi="Arial"/>
                          <w:b/>
                          <w:sz w:val="24"/>
                        </w:rPr>
                        <w:t>UNCRPD</w:t>
                      </w:r>
                      <w:r>
                        <w:rPr>
                          <w:rFonts w:ascii="Arial" w:hAnsi="Arial"/>
                          <w:b/>
                          <w:spacing w:val="-5"/>
                          <w:sz w:val="24"/>
                        </w:rPr>
                        <w:t xml:space="preserve"> </w:t>
                      </w:r>
                      <w:r>
                        <w:rPr>
                          <w:rFonts w:ascii="Arial" w:hAnsi="Arial"/>
                          <w:b/>
                          <w:sz w:val="24"/>
                        </w:rPr>
                        <w:t>-</w:t>
                      </w:r>
                      <w:r>
                        <w:rPr>
                          <w:rFonts w:ascii="Arial" w:hAnsi="Arial"/>
                          <w:b/>
                          <w:spacing w:val="-9"/>
                          <w:sz w:val="24"/>
                        </w:rPr>
                        <w:t xml:space="preserve"> </w:t>
                      </w:r>
                      <w:r>
                        <w:rPr>
                          <w:rFonts w:ascii="Arial" w:hAnsi="Arial"/>
                          <w:b/>
                          <w:sz w:val="24"/>
                        </w:rPr>
                        <w:t>and</w:t>
                      </w:r>
                      <w:r>
                        <w:rPr>
                          <w:rFonts w:ascii="Arial" w:hAnsi="Arial"/>
                          <w:b/>
                          <w:spacing w:val="-14"/>
                          <w:sz w:val="24"/>
                        </w:rPr>
                        <w:t xml:space="preserve"> </w:t>
                      </w:r>
                      <w:r>
                        <w:rPr>
                          <w:rFonts w:ascii="Arial" w:hAnsi="Arial"/>
                          <w:b/>
                          <w:sz w:val="24"/>
                        </w:rPr>
                        <w:t>by</w:t>
                      </w:r>
                      <w:r>
                        <w:rPr>
                          <w:rFonts w:ascii="Arial" w:hAnsi="Arial"/>
                          <w:b/>
                          <w:spacing w:val="-8"/>
                          <w:sz w:val="24"/>
                        </w:rPr>
                        <w:t xml:space="preserve"> </w:t>
                      </w:r>
                      <w:r>
                        <w:rPr>
                          <w:rFonts w:ascii="Arial" w:hAnsi="Arial"/>
                          <w:b/>
                          <w:sz w:val="24"/>
                        </w:rPr>
                        <w:t>ensuring</w:t>
                      </w:r>
                      <w:r>
                        <w:rPr>
                          <w:rFonts w:ascii="Arial" w:hAnsi="Arial"/>
                          <w:b/>
                          <w:spacing w:val="-9"/>
                          <w:sz w:val="24"/>
                        </w:rPr>
                        <w:t xml:space="preserve"> </w:t>
                      </w:r>
                      <w:r>
                        <w:rPr>
                          <w:rFonts w:ascii="Arial" w:hAnsi="Arial"/>
                          <w:b/>
                          <w:sz w:val="24"/>
                        </w:rPr>
                        <w:t>that</w:t>
                      </w:r>
                      <w:r>
                        <w:rPr>
                          <w:rFonts w:ascii="Arial" w:hAnsi="Arial"/>
                          <w:b/>
                          <w:spacing w:val="-9"/>
                          <w:sz w:val="24"/>
                        </w:rPr>
                        <w:t xml:space="preserve"> </w:t>
                      </w:r>
                      <w:r>
                        <w:rPr>
                          <w:rFonts w:ascii="Arial" w:hAnsi="Arial"/>
                          <w:b/>
                          <w:sz w:val="24"/>
                        </w:rPr>
                        <w:t>MS use the technical assistance funding to es</w:t>
                      </w:r>
                      <w:r>
                        <w:rPr>
                          <w:rFonts w:ascii="Arial" w:hAnsi="Arial"/>
                          <w:b/>
                          <w:sz w:val="24"/>
                        </w:rPr>
                        <w:t>tablish similar platforms at the national level. Finally, the Commission should collect data on how many MS use technical assistance to</w:t>
                      </w:r>
                      <w:r>
                        <w:rPr>
                          <w:rFonts w:ascii="Arial" w:hAnsi="Arial"/>
                          <w:b/>
                          <w:spacing w:val="-1"/>
                          <w:sz w:val="24"/>
                        </w:rPr>
                        <w:t xml:space="preserve"> </w:t>
                      </w:r>
                      <w:r>
                        <w:rPr>
                          <w:rFonts w:ascii="Arial" w:hAnsi="Arial"/>
                          <w:b/>
                          <w:sz w:val="24"/>
                        </w:rPr>
                        <w:t>build the capacity of</w:t>
                      </w:r>
                      <w:r>
                        <w:rPr>
                          <w:rFonts w:ascii="Arial" w:hAnsi="Arial"/>
                          <w:b/>
                          <w:spacing w:val="-1"/>
                          <w:sz w:val="24"/>
                        </w:rPr>
                        <w:t xml:space="preserve"> </w:t>
                      </w:r>
                      <w:r>
                        <w:rPr>
                          <w:rFonts w:ascii="Arial" w:hAnsi="Arial"/>
                          <w:b/>
                          <w:sz w:val="24"/>
                        </w:rPr>
                        <w:t xml:space="preserve">disabled people’s </w:t>
                      </w:r>
                      <w:proofErr w:type="spellStart"/>
                      <w:r>
                        <w:rPr>
                          <w:rFonts w:ascii="Arial" w:hAnsi="Arial"/>
                          <w:b/>
                          <w:sz w:val="24"/>
                        </w:rPr>
                        <w:t>organisations</w:t>
                      </w:r>
                      <w:proofErr w:type="spellEnd"/>
                      <w:r>
                        <w:rPr>
                          <w:rFonts w:ascii="Arial" w:hAnsi="Arial"/>
                          <w:b/>
                          <w:sz w:val="24"/>
                        </w:rPr>
                        <w:t xml:space="preserve"> and other civil society to participate in the preparation, implementation and monitoring of </w:t>
                      </w:r>
                      <w:proofErr w:type="spellStart"/>
                      <w:r>
                        <w:rPr>
                          <w:rFonts w:ascii="Arial" w:hAnsi="Arial"/>
                          <w:b/>
                          <w:sz w:val="24"/>
                        </w:rPr>
                        <w:t>programmes</w:t>
                      </w:r>
                      <w:proofErr w:type="spellEnd"/>
                      <w:r>
                        <w:rPr>
                          <w:rFonts w:ascii="Arial" w:hAnsi="Arial"/>
                          <w:b/>
                          <w:sz w:val="24"/>
                        </w:rPr>
                        <w:t>; where</w:t>
                      </w:r>
                      <w:r>
                        <w:rPr>
                          <w:rFonts w:ascii="Arial" w:hAnsi="Arial"/>
                          <w:b/>
                          <w:spacing w:val="-2"/>
                          <w:sz w:val="24"/>
                        </w:rPr>
                        <w:t xml:space="preserve"> </w:t>
                      </w:r>
                      <w:r>
                        <w:rPr>
                          <w:rFonts w:ascii="Arial" w:hAnsi="Arial"/>
                          <w:b/>
                          <w:sz w:val="24"/>
                        </w:rPr>
                        <w:t>MS fail to</w:t>
                      </w:r>
                      <w:r>
                        <w:rPr>
                          <w:rFonts w:ascii="Arial" w:hAnsi="Arial"/>
                          <w:b/>
                          <w:spacing w:val="-1"/>
                          <w:sz w:val="24"/>
                        </w:rPr>
                        <w:t xml:space="preserve"> </w:t>
                      </w:r>
                      <w:r>
                        <w:rPr>
                          <w:rFonts w:ascii="Arial" w:hAnsi="Arial"/>
                          <w:b/>
                          <w:sz w:val="24"/>
                        </w:rPr>
                        <w:t>do this, the Commission should</w:t>
                      </w:r>
                      <w:r>
                        <w:rPr>
                          <w:rFonts w:ascii="Arial" w:hAnsi="Arial"/>
                          <w:b/>
                          <w:spacing w:val="-2"/>
                          <w:sz w:val="24"/>
                        </w:rPr>
                        <w:t xml:space="preserve"> </w:t>
                      </w:r>
                      <w:r>
                        <w:rPr>
                          <w:rFonts w:ascii="Arial" w:hAnsi="Arial"/>
                          <w:b/>
                          <w:sz w:val="24"/>
                        </w:rPr>
                        <w:t>apply sanctions or undertake other actions to ensure compliance.</w:t>
                      </w:r>
                    </w:p>
                  </w:txbxContent>
                </v:textbox>
                <w10:wrap type="topAndBottom" anchorx="page"/>
              </v:shape>
            </w:pict>
          </mc:Fallback>
        </mc:AlternateContent>
      </w:r>
    </w:p>
    <w:p w14:paraId="15425D9B" w14:textId="77777777" w:rsidR="00161C10" w:rsidRDefault="00CE2C8C">
      <w:pPr>
        <w:pStyle w:val="Heading4"/>
        <w:numPr>
          <w:ilvl w:val="1"/>
          <w:numId w:val="11"/>
        </w:numPr>
        <w:tabs>
          <w:tab w:val="left" w:pos="1073"/>
        </w:tabs>
        <w:spacing w:before="248"/>
        <w:ind w:hanging="355"/>
        <w:jc w:val="left"/>
      </w:pPr>
      <w:r>
        <w:t>Reply</w:t>
      </w:r>
      <w:r>
        <w:rPr>
          <w:spacing w:val="-2"/>
        </w:rPr>
        <w:t xml:space="preserve"> </w:t>
      </w:r>
      <w:r>
        <w:t>to</w:t>
      </w:r>
      <w:r>
        <w:rPr>
          <w:spacing w:val="-1"/>
        </w:rPr>
        <w:t xml:space="preserve"> </w:t>
      </w:r>
      <w:r>
        <w:t>the</w:t>
      </w:r>
      <w:r>
        <w:rPr>
          <w:spacing w:val="-2"/>
        </w:rPr>
        <w:t xml:space="preserve"> </w:t>
      </w:r>
      <w:r>
        <w:t>issues</w:t>
      </w:r>
      <w:r>
        <w:rPr>
          <w:spacing w:val="-1"/>
        </w:rPr>
        <w:t xml:space="preserve"> </w:t>
      </w:r>
      <w:r>
        <w:t>raised</w:t>
      </w:r>
      <w:r>
        <w:rPr>
          <w:spacing w:val="-4"/>
        </w:rPr>
        <w:t xml:space="preserve"> </w:t>
      </w:r>
      <w:r>
        <w:t>in</w:t>
      </w:r>
      <w:r>
        <w:rPr>
          <w:spacing w:val="-2"/>
        </w:rPr>
        <w:t xml:space="preserve"> </w:t>
      </w:r>
      <w:r>
        <w:t>paragraph</w:t>
      </w:r>
      <w:r>
        <w:rPr>
          <w:spacing w:val="-1"/>
        </w:rPr>
        <w:t xml:space="preserve"> </w:t>
      </w:r>
      <w:r>
        <w:t>5</w:t>
      </w:r>
      <w:r>
        <w:rPr>
          <w:spacing w:val="-5"/>
        </w:rPr>
        <w:t xml:space="preserve"> </w:t>
      </w:r>
      <w:r>
        <w:t>of</w:t>
      </w:r>
      <w:r>
        <w:rPr>
          <w:spacing w:val="-3"/>
        </w:rPr>
        <w:t xml:space="preserve"> </w:t>
      </w:r>
      <w:r>
        <w:t>the</w:t>
      </w:r>
      <w:r>
        <w:rPr>
          <w:spacing w:val="-1"/>
        </w:rPr>
        <w:t xml:space="preserve"> </w:t>
      </w:r>
      <w:r>
        <w:t>list</w:t>
      </w:r>
      <w:r>
        <w:rPr>
          <w:spacing w:val="-1"/>
        </w:rPr>
        <w:t xml:space="preserve"> </w:t>
      </w:r>
      <w:r>
        <w:t>of</w:t>
      </w:r>
      <w:r>
        <w:rPr>
          <w:spacing w:val="-4"/>
        </w:rPr>
        <w:t xml:space="preserve"> </w:t>
      </w:r>
      <w:r>
        <w:rPr>
          <w:spacing w:val="-2"/>
        </w:rPr>
        <w:t>issues</w:t>
      </w:r>
    </w:p>
    <w:p w14:paraId="2E0DBFB4" w14:textId="77777777" w:rsidR="00161C10" w:rsidRDefault="00CE2C8C">
      <w:pPr>
        <w:spacing w:before="159" w:line="276" w:lineRule="auto"/>
        <w:ind w:left="360" w:right="357"/>
        <w:jc w:val="both"/>
        <w:rPr>
          <w:rFonts w:ascii="Arial" w:hAnsi="Arial"/>
          <w:i/>
          <w:sz w:val="24"/>
        </w:rPr>
      </w:pPr>
      <w:r>
        <w:rPr>
          <w:rFonts w:ascii="Arial" w:hAnsi="Arial"/>
          <w:i/>
          <w:sz w:val="24"/>
        </w:rPr>
        <w:t>The European Union states that “major EU-level networks of OPDs receive financial support to implement a wide range of activities and strengthen their capacity, as well as that of their national or regional members”.</w:t>
      </w:r>
    </w:p>
    <w:p w14:paraId="60802ACD" w14:textId="77777777" w:rsidR="00161C10" w:rsidRDefault="00CE2C8C">
      <w:pPr>
        <w:pStyle w:val="BodyText"/>
        <w:spacing w:before="121" w:line="276" w:lineRule="auto"/>
        <w:ind w:left="360" w:right="355"/>
        <w:jc w:val="both"/>
      </w:pPr>
      <w:r>
        <w:t>ENIL is one of the beneficiaries of this financial support and would like to commend the European</w:t>
      </w:r>
      <w:r>
        <w:rPr>
          <w:spacing w:val="-9"/>
        </w:rPr>
        <w:t xml:space="preserve"> </w:t>
      </w:r>
      <w:r>
        <w:t>Union</w:t>
      </w:r>
      <w:r>
        <w:rPr>
          <w:spacing w:val="-9"/>
        </w:rPr>
        <w:t xml:space="preserve"> </w:t>
      </w:r>
      <w:r>
        <w:t>for</w:t>
      </w:r>
      <w:r>
        <w:rPr>
          <w:spacing w:val="-8"/>
        </w:rPr>
        <w:t xml:space="preserve"> </w:t>
      </w:r>
      <w:r>
        <w:t>supporting</w:t>
      </w:r>
      <w:r>
        <w:rPr>
          <w:spacing w:val="-7"/>
        </w:rPr>
        <w:t xml:space="preserve"> </w:t>
      </w:r>
      <w:r>
        <w:t>our</w:t>
      </w:r>
      <w:r>
        <w:rPr>
          <w:spacing w:val="-8"/>
        </w:rPr>
        <w:t xml:space="preserve"> </w:t>
      </w:r>
      <w:r>
        <w:t>activities</w:t>
      </w:r>
      <w:r>
        <w:rPr>
          <w:spacing w:val="-10"/>
        </w:rPr>
        <w:t xml:space="preserve"> </w:t>
      </w:r>
      <w:r>
        <w:t>and</w:t>
      </w:r>
      <w:r>
        <w:rPr>
          <w:spacing w:val="-7"/>
        </w:rPr>
        <w:t xml:space="preserve"> </w:t>
      </w:r>
      <w:r>
        <w:t>those</w:t>
      </w:r>
      <w:r>
        <w:rPr>
          <w:spacing w:val="-9"/>
        </w:rPr>
        <w:t xml:space="preserve"> </w:t>
      </w:r>
      <w:r>
        <w:t>of</w:t>
      </w:r>
      <w:r>
        <w:rPr>
          <w:spacing w:val="-10"/>
        </w:rPr>
        <w:t xml:space="preserve"> </w:t>
      </w:r>
      <w:r>
        <w:t>other</w:t>
      </w:r>
      <w:r>
        <w:rPr>
          <w:spacing w:val="-8"/>
        </w:rPr>
        <w:t xml:space="preserve"> </w:t>
      </w:r>
      <w:r>
        <w:t>EU-level</w:t>
      </w:r>
      <w:r>
        <w:rPr>
          <w:spacing w:val="-8"/>
        </w:rPr>
        <w:t xml:space="preserve"> </w:t>
      </w:r>
      <w:r>
        <w:t>networks,</w:t>
      </w:r>
      <w:r>
        <w:rPr>
          <w:spacing w:val="-8"/>
        </w:rPr>
        <w:t xml:space="preserve"> </w:t>
      </w:r>
      <w:r>
        <w:t>which</w:t>
      </w:r>
    </w:p>
    <w:p w14:paraId="2FF6EAD4" w14:textId="77777777" w:rsidR="00161C10" w:rsidRDefault="00161C10">
      <w:pPr>
        <w:pStyle w:val="BodyText"/>
        <w:spacing w:line="276" w:lineRule="auto"/>
        <w:jc w:val="both"/>
        <w:sectPr w:rsidR="00161C10">
          <w:pgSz w:w="12240" w:h="15840"/>
          <w:pgMar w:top="1360" w:right="1080" w:bottom="1540" w:left="1080" w:header="0" w:footer="1274" w:gutter="0"/>
          <w:cols w:space="720"/>
        </w:sectPr>
      </w:pPr>
    </w:p>
    <w:p w14:paraId="2E9B9BD6" w14:textId="68E65C03" w:rsidR="00161C10" w:rsidRDefault="00CE2C8C">
      <w:pPr>
        <w:pStyle w:val="BodyText"/>
        <w:spacing w:before="81" w:line="276" w:lineRule="auto"/>
        <w:ind w:left="360" w:right="362"/>
        <w:jc w:val="both"/>
      </w:pPr>
      <w:r>
        <w:lastRenderedPageBreak/>
        <w:t>allows us, among other, to undertake different advocacy activities to advance the implementation</w:t>
      </w:r>
      <w:r>
        <w:rPr>
          <w:spacing w:val="-3"/>
        </w:rPr>
        <w:t xml:space="preserve"> </w:t>
      </w:r>
      <w:r>
        <w:t>of</w:t>
      </w:r>
      <w:r>
        <w:rPr>
          <w:spacing w:val="-3"/>
        </w:rPr>
        <w:t xml:space="preserve"> </w:t>
      </w:r>
      <w:r>
        <w:t>UNCRPD.</w:t>
      </w:r>
      <w:r>
        <w:rPr>
          <w:spacing w:val="-1"/>
        </w:rPr>
        <w:t xml:space="preserve"> </w:t>
      </w:r>
      <w:r>
        <w:t>We</w:t>
      </w:r>
      <w:r>
        <w:rPr>
          <w:spacing w:val="-2"/>
        </w:rPr>
        <w:t xml:space="preserve"> </w:t>
      </w:r>
      <w:r>
        <w:t>note</w:t>
      </w:r>
      <w:r>
        <w:rPr>
          <w:spacing w:val="-2"/>
        </w:rPr>
        <w:t xml:space="preserve"> </w:t>
      </w:r>
      <w:r>
        <w:t>that</w:t>
      </w:r>
      <w:r>
        <w:rPr>
          <w:spacing w:val="-3"/>
        </w:rPr>
        <w:t xml:space="preserve"> </w:t>
      </w:r>
      <w:r>
        <w:t>the funds</w:t>
      </w:r>
      <w:r>
        <w:rPr>
          <w:spacing w:val="-3"/>
        </w:rPr>
        <w:t xml:space="preserve"> </w:t>
      </w:r>
      <w:r>
        <w:t>cannot</w:t>
      </w:r>
      <w:r>
        <w:rPr>
          <w:spacing w:val="-3"/>
        </w:rPr>
        <w:t xml:space="preserve"> </w:t>
      </w:r>
      <w:r>
        <w:t>be</w:t>
      </w:r>
      <w:r>
        <w:rPr>
          <w:spacing w:val="-2"/>
        </w:rPr>
        <w:t xml:space="preserve"> </w:t>
      </w:r>
      <w:r>
        <w:t>used for</w:t>
      </w:r>
      <w:r>
        <w:rPr>
          <w:spacing w:val="-2"/>
        </w:rPr>
        <w:t xml:space="preserve"> </w:t>
      </w:r>
      <w:r>
        <w:t>advocacy</w:t>
      </w:r>
      <w:r>
        <w:rPr>
          <w:spacing w:val="-3"/>
        </w:rPr>
        <w:t xml:space="preserve"> </w:t>
      </w:r>
      <w:r>
        <w:t>at</w:t>
      </w:r>
      <w:r>
        <w:rPr>
          <w:spacing w:val="-3"/>
        </w:rPr>
        <w:t xml:space="preserve"> </w:t>
      </w:r>
      <w:r>
        <w:t xml:space="preserve">the UN level, in Geneva or New York, which hinders our ability to take part in the </w:t>
      </w:r>
      <w:r w:rsidR="003D0DBD">
        <w:t>UN</w:t>
      </w:r>
      <w:r>
        <w:t xml:space="preserve">CRPD Committee sessions or the Conference of States Parties to the </w:t>
      </w:r>
      <w:r w:rsidR="003D0DBD">
        <w:t>UN</w:t>
      </w:r>
      <w:r>
        <w:t>CRPD in New York.</w:t>
      </w:r>
    </w:p>
    <w:p w14:paraId="22B62BE6" w14:textId="77777777" w:rsidR="00161C10" w:rsidRDefault="00CE2C8C">
      <w:pPr>
        <w:spacing w:before="120" w:line="276" w:lineRule="auto"/>
        <w:ind w:left="360" w:right="350"/>
        <w:jc w:val="both"/>
        <w:rPr>
          <w:sz w:val="24"/>
        </w:rPr>
      </w:pPr>
      <w:r>
        <w:rPr>
          <w:sz w:val="24"/>
        </w:rPr>
        <w:t>We</w:t>
      </w:r>
      <w:r>
        <w:rPr>
          <w:spacing w:val="-2"/>
          <w:sz w:val="24"/>
        </w:rPr>
        <w:t xml:space="preserve"> </w:t>
      </w:r>
      <w:r>
        <w:rPr>
          <w:sz w:val="24"/>
        </w:rPr>
        <w:t>would</w:t>
      </w:r>
      <w:r>
        <w:rPr>
          <w:spacing w:val="-2"/>
          <w:sz w:val="24"/>
        </w:rPr>
        <w:t xml:space="preserve"> </w:t>
      </w:r>
      <w:r>
        <w:rPr>
          <w:sz w:val="24"/>
        </w:rPr>
        <w:t>also</w:t>
      </w:r>
      <w:r>
        <w:rPr>
          <w:spacing w:val="-2"/>
          <w:sz w:val="24"/>
        </w:rPr>
        <w:t xml:space="preserve"> </w:t>
      </w:r>
      <w:r>
        <w:rPr>
          <w:sz w:val="24"/>
        </w:rPr>
        <w:t>like</w:t>
      </w:r>
      <w:r>
        <w:rPr>
          <w:spacing w:val="-2"/>
          <w:sz w:val="24"/>
        </w:rPr>
        <w:t xml:space="preserve"> </w:t>
      </w:r>
      <w:r>
        <w:rPr>
          <w:sz w:val="24"/>
        </w:rPr>
        <w:t>to</w:t>
      </w:r>
      <w:r>
        <w:rPr>
          <w:spacing w:val="-4"/>
          <w:sz w:val="24"/>
        </w:rPr>
        <w:t xml:space="preserve"> </w:t>
      </w:r>
      <w:r>
        <w:rPr>
          <w:sz w:val="24"/>
        </w:rPr>
        <w:t>express</w:t>
      </w:r>
      <w:r>
        <w:rPr>
          <w:spacing w:val="-2"/>
          <w:sz w:val="24"/>
        </w:rPr>
        <w:t xml:space="preserve"> </w:t>
      </w:r>
      <w:r>
        <w:rPr>
          <w:sz w:val="24"/>
        </w:rPr>
        <w:t>our</w:t>
      </w:r>
      <w:r>
        <w:rPr>
          <w:spacing w:val="-2"/>
          <w:sz w:val="24"/>
        </w:rPr>
        <w:t xml:space="preserve"> </w:t>
      </w:r>
      <w:r>
        <w:rPr>
          <w:sz w:val="24"/>
        </w:rPr>
        <w:t>concerns</w:t>
      </w:r>
      <w:r>
        <w:rPr>
          <w:spacing w:val="-4"/>
          <w:sz w:val="24"/>
        </w:rPr>
        <w:t xml:space="preserve"> </w:t>
      </w:r>
      <w:r>
        <w:rPr>
          <w:sz w:val="24"/>
        </w:rPr>
        <w:t>about</w:t>
      </w:r>
      <w:r>
        <w:rPr>
          <w:spacing w:val="-2"/>
          <w:sz w:val="24"/>
        </w:rPr>
        <w:t xml:space="preserve"> </w:t>
      </w:r>
      <w:r>
        <w:rPr>
          <w:sz w:val="24"/>
        </w:rPr>
        <w:t>recent</w:t>
      </w:r>
      <w:r>
        <w:rPr>
          <w:spacing w:val="-2"/>
          <w:sz w:val="24"/>
        </w:rPr>
        <w:t xml:space="preserve"> </w:t>
      </w:r>
      <w:r>
        <w:rPr>
          <w:sz w:val="24"/>
        </w:rPr>
        <w:t>developments</w:t>
      </w:r>
      <w:r>
        <w:rPr>
          <w:spacing w:val="-2"/>
          <w:sz w:val="24"/>
        </w:rPr>
        <w:t xml:space="preserve"> </w:t>
      </w:r>
      <w:r>
        <w:rPr>
          <w:sz w:val="24"/>
        </w:rPr>
        <w:t>at</w:t>
      </w:r>
      <w:r>
        <w:rPr>
          <w:spacing w:val="-2"/>
          <w:sz w:val="24"/>
        </w:rPr>
        <w:t xml:space="preserve"> </w:t>
      </w:r>
      <w:r>
        <w:rPr>
          <w:sz w:val="24"/>
        </w:rPr>
        <w:t>the</w:t>
      </w:r>
      <w:r>
        <w:rPr>
          <w:spacing w:val="-4"/>
          <w:sz w:val="24"/>
        </w:rPr>
        <w:t xml:space="preserve"> </w:t>
      </w:r>
      <w:r>
        <w:rPr>
          <w:sz w:val="24"/>
        </w:rPr>
        <w:t xml:space="preserve">European Commission, whereby there is an initiative under way to undermine activities of </w:t>
      </w:r>
      <w:hyperlink r:id="rId42">
        <w:r>
          <w:rPr>
            <w:color w:val="1154CC"/>
            <w:sz w:val="24"/>
            <w:u w:val="single" w:color="1154CC"/>
          </w:rPr>
          <w:t>climate-</w:t>
        </w:r>
      </w:hyperlink>
      <w:r>
        <w:rPr>
          <w:color w:val="1154CC"/>
          <w:sz w:val="24"/>
        </w:rPr>
        <w:t xml:space="preserve"> </w:t>
      </w:r>
      <w:hyperlink r:id="rId43">
        <w:r>
          <w:rPr>
            <w:color w:val="1154CC"/>
            <w:sz w:val="24"/>
            <w:u w:val="single" w:color="1154CC"/>
          </w:rPr>
          <w:t>focused</w:t>
        </w:r>
        <w:r>
          <w:rPr>
            <w:color w:val="1154CC"/>
            <w:spacing w:val="-9"/>
            <w:sz w:val="24"/>
            <w:u w:val="single" w:color="1154CC"/>
          </w:rPr>
          <w:t xml:space="preserve"> </w:t>
        </w:r>
        <w:r>
          <w:rPr>
            <w:color w:val="1154CC"/>
            <w:sz w:val="24"/>
            <w:u w:val="single" w:color="1154CC"/>
          </w:rPr>
          <w:t>NGOs</w:t>
        </w:r>
      </w:hyperlink>
      <w:r>
        <w:rPr>
          <w:color w:val="1154CC"/>
          <w:spacing w:val="-11"/>
          <w:sz w:val="24"/>
        </w:rPr>
        <w:t xml:space="preserve"> </w:t>
      </w:r>
      <w:r>
        <w:rPr>
          <w:sz w:val="24"/>
        </w:rPr>
        <w:t>and</w:t>
      </w:r>
      <w:r>
        <w:rPr>
          <w:spacing w:val="-12"/>
          <w:sz w:val="24"/>
        </w:rPr>
        <w:t xml:space="preserve"> </w:t>
      </w:r>
      <w:r>
        <w:rPr>
          <w:sz w:val="24"/>
        </w:rPr>
        <w:t>their</w:t>
      </w:r>
      <w:r>
        <w:rPr>
          <w:spacing w:val="-11"/>
          <w:sz w:val="24"/>
        </w:rPr>
        <w:t xml:space="preserve"> </w:t>
      </w:r>
      <w:r>
        <w:rPr>
          <w:sz w:val="24"/>
        </w:rPr>
        <w:t>ability</w:t>
      </w:r>
      <w:r>
        <w:rPr>
          <w:spacing w:val="-10"/>
          <w:sz w:val="24"/>
        </w:rPr>
        <w:t xml:space="preserve"> </w:t>
      </w:r>
      <w:r>
        <w:rPr>
          <w:sz w:val="24"/>
        </w:rPr>
        <w:t>to</w:t>
      </w:r>
      <w:r>
        <w:rPr>
          <w:spacing w:val="-9"/>
          <w:sz w:val="24"/>
        </w:rPr>
        <w:t xml:space="preserve"> </w:t>
      </w:r>
      <w:r>
        <w:rPr>
          <w:sz w:val="24"/>
        </w:rPr>
        <w:t>advocate</w:t>
      </w:r>
      <w:r>
        <w:rPr>
          <w:spacing w:val="-9"/>
          <w:sz w:val="24"/>
        </w:rPr>
        <w:t xml:space="preserve"> </w:t>
      </w:r>
      <w:r>
        <w:rPr>
          <w:sz w:val="24"/>
        </w:rPr>
        <w:t>towards</w:t>
      </w:r>
      <w:r>
        <w:rPr>
          <w:spacing w:val="-10"/>
          <w:sz w:val="24"/>
        </w:rPr>
        <w:t xml:space="preserve"> </w:t>
      </w:r>
      <w:r>
        <w:rPr>
          <w:sz w:val="24"/>
        </w:rPr>
        <w:t>EU</w:t>
      </w:r>
      <w:r>
        <w:rPr>
          <w:spacing w:val="-11"/>
          <w:sz w:val="24"/>
        </w:rPr>
        <w:t xml:space="preserve"> </w:t>
      </w:r>
      <w:r>
        <w:rPr>
          <w:sz w:val="24"/>
        </w:rPr>
        <w:t>institutions.</w:t>
      </w:r>
      <w:r>
        <w:rPr>
          <w:spacing w:val="-14"/>
          <w:sz w:val="24"/>
        </w:rPr>
        <w:t xml:space="preserve"> </w:t>
      </w:r>
      <w:r>
        <w:rPr>
          <w:sz w:val="24"/>
        </w:rPr>
        <w:t>The</w:t>
      </w:r>
      <w:r>
        <w:rPr>
          <w:spacing w:val="-9"/>
          <w:sz w:val="24"/>
        </w:rPr>
        <w:t xml:space="preserve"> </w:t>
      </w:r>
      <w:r>
        <w:rPr>
          <w:sz w:val="24"/>
        </w:rPr>
        <w:t>recent</w:t>
      </w:r>
      <w:r>
        <w:rPr>
          <w:spacing w:val="-4"/>
          <w:sz w:val="24"/>
        </w:rPr>
        <w:t xml:space="preserve"> </w:t>
      </w:r>
      <w:hyperlink r:id="rId44">
        <w:r>
          <w:rPr>
            <w:color w:val="1154CC"/>
            <w:sz w:val="24"/>
            <w:u w:val="single" w:color="1154CC"/>
          </w:rPr>
          <w:t>Guidance</w:t>
        </w:r>
      </w:hyperlink>
      <w:r>
        <w:rPr>
          <w:color w:val="1154CC"/>
          <w:sz w:val="24"/>
        </w:rPr>
        <w:t xml:space="preserve"> </w:t>
      </w:r>
      <w:hyperlink r:id="rId45">
        <w:r>
          <w:rPr>
            <w:color w:val="1154CC"/>
            <w:sz w:val="24"/>
            <w:u w:val="single" w:color="1154CC"/>
          </w:rPr>
          <w:t>on funding for activities related to the development, implementation, monitoring and</w:t>
        </w:r>
      </w:hyperlink>
      <w:r>
        <w:rPr>
          <w:color w:val="1154CC"/>
          <w:sz w:val="24"/>
        </w:rPr>
        <w:t xml:space="preserve"> </w:t>
      </w:r>
      <w:hyperlink r:id="rId46">
        <w:r>
          <w:rPr>
            <w:color w:val="1154CC"/>
            <w:sz w:val="24"/>
            <w:u w:val="single" w:color="1154CC"/>
          </w:rPr>
          <w:t>enforcement of Union legislation and policy</w:t>
        </w:r>
      </w:hyperlink>
      <w:r>
        <w:rPr>
          <w:sz w:val="24"/>
        </w:rPr>
        <w:t>, from the European Commission’s Legal Service, establishes that those activities which may damage the EU’s reputation should not be funded, which includes</w:t>
      </w:r>
      <w:r>
        <w:rPr>
          <w:spacing w:val="-1"/>
          <w:sz w:val="24"/>
        </w:rPr>
        <w:t xml:space="preserve"> </w:t>
      </w:r>
      <w:r>
        <w:rPr>
          <w:sz w:val="24"/>
        </w:rPr>
        <w:t>statements,</w:t>
      </w:r>
      <w:r>
        <w:rPr>
          <w:spacing w:val="-2"/>
          <w:sz w:val="24"/>
        </w:rPr>
        <w:t xml:space="preserve"> </w:t>
      </w:r>
      <w:r>
        <w:rPr>
          <w:sz w:val="24"/>
        </w:rPr>
        <w:t>reports,</w:t>
      </w:r>
      <w:r>
        <w:rPr>
          <w:spacing w:val="-1"/>
          <w:sz w:val="24"/>
        </w:rPr>
        <w:t xml:space="preserve"> </w:t>
      </w:r>
      <w:r>
        <w:rPr>
          <w:sz w:val="24"/>
        </w:rPr>
        <w:t>lobbying, etc. It</w:t>
      </w:r>
      <w:r>
        <w:rPr>
          <w:spacing w:val="-3"/>
          <w:sz w:val="24"/>
        </w:rPr>
        <w:t xml:space="preserve"> </w:t>
      </w:r>
      <w:r>
        <w:rPr>
          <w:sz w:val="24"/>
        </w:rPr>
        <w:t>suggests that the EU should finance training and capacity building activities instead. According to the Guidance, “</w:t>
      </w:r>
      <w:r>
        <w:rPr>
          <w:rFonts w:ascii="Arial" w:hAnsi="Arial"/>
          <w:i/>
          <w:sz w:val="24"/>
        </w:rPr>
        <w:t xml:space="preserve">funding agreements requiring beneficiaries to undertake specifically detailed activities directed at EU institutions and some of their representatives may entail a reputational risk for the Union. Such specific activities can include sending letters, </w:t>
      </w:r>
      <w:proofErr w:type="spellStart"/>
      <w:r>
        <w:rPr>
          <w:rFonts w:ascii="Arial" w:hAnsi="Arial"/>
          <w:i/>
          <w:sz w:val="24"/>
        </w:rPr>
        <w:t>organising</w:t>
      </w:r>
      <w:proofErr w:type="spellEnd"/>
      <w:r>
        <w:rPr>
          <w:rFonts w:ascii="Arial" w:hAnsi="Arial"/>
          <w:i/>
          <w:sz w:val="24"/>
        </w:rPr>
        <w:t xml:space="preserve"> meetings or providing advocacy material to EU institutions or specific members of an institution; or identifying specific members or officials of an institution to evaluate or describe their positions, or to discuss specific political content or outcome. Work plans submitted by applicants should be carefully assessed to establish whether they could create such reputational risk if incorporated into a grant agreement</w:t>
      </w:r>
      <w:r>
        <w:rPr>
          <w:sz w:val="24"/>
        </w:rPr>
        <w:t>.”</w:t>
      </w:r>
    </w:p>
    <w:p w14:paraId="41BED126" w14:textId="77777777" w:rsidR="00161C10" w:rsidRDefault="00CE2C8C">
      <w:pPr>
        <w:pStyle w:val="BodyText"/>
        <w:spacing w:before="121" w:line="276" w:lineRule="auto"/>
        <w:ind w:left="360" w:right="362"/>
        <w:jc w:val="both"/>
      </w:pPr>
      <w:r>
        <w:t xml:space="preserve">We are concerned that this Guidance may negatively affect </w:t>
      </w:r>
      <w:proofErr w:type="spellStart"/>
      <w:r>
        <w:t>organisations</w:t>
      </w:r>
      <w:proofErr w:type="spellEnd"/>
      <w:r>
        <w:t xml:space="preserve"> of disabled people</w:t>
      </w:r>
      <w:r>
        <w:rPr>
          <w:spacing w:val="-12"/>
        </w:rPr>
        <w:t xml:space="preserve"> </w:t>
      </w:r>
      <w:r>
        <w:t>as</w:t>
      </w:r>
      <w:r>
        <w:rPr>
          <w:spacing w:val="-13"/>
        </w:rPr>
        <w:t xml:space="preserve"> </w:t>
      </w:r>
      <w:r>
        <w:t>well,</w:t>
      </w:r>
      <w:r>
        <w:rPr>
          <w:spacing w:val="-13"/>
        </w:rPr>
        <w:t xml:space="preserve"> </w:t>
      </w:r>
      <w:r>
        <w:t>and</w:t>
      </w:r>
      <w:r>
        <w:rPr>
          <w:spacing w:val="-12"/>
        </w:rPr>
        <w:t xml:space="preserve"> </w:t>
      </w:r>
      <w:r>
        <w:t>our</w:t>
      </w:r>
      <w:r>
        <w:rPr>
          <w:spacing w:val="-15"/>
        </w:rPr>
        <w:t xml:space="preserve"> </w:t>
      </w:r>
      <w:r>
        <w:t>ability</w:t>
      </w:r>
      <w:r>
        <w:rPr>
          <w:spacing w:val="-13"/>
        </w:rPr>
        <w:t xml:space="preserve"> </w:t>
      </w:r>
      <w:r>
        <w:t>to</w:t>
      </w:r>
      <w:r>
        <w:rPr>
          <w:spacing w:val="-11"/>
        </w:rPr>
        <w:t xml:space="preserve"> </w:t>
      </w:r>
      <w:r>
        <w:t>undertake</w:t>
      </w:r>
      <w:r>
        <w:rPr>
          <w:spacing w:val="-14"/>
        </w:rPr>
        <w:t xml:space="preserve"> </w:t>
      </w:r>
      <w:r>
        <w:t>advocacy</w:t>
      </w:r>
      <w:r>
        <w:rPr>
          <w:spacing w:val="-13"/>
        </w:rPr>
        <w:t xml:space="preserve"> </w:t>
      </w:r>
      <w:r>
        <w:t>activities</w:t>
      </w:r>
      <w:r>
        <w:rPr>
          <w:spacing w:val="-12"/>
        </w:rPr>
        <w:t xml:space="preserve"> </w:t>
      </w:r>
      <w:r>
        <w:t>directed</w:t>
      </w:r>
      <w:r>
        <w:rPr>
          <w:spacing w:val="-12"/>
        </w:rPr>
        <w:t xml:space="preserve"> </w:t>
      </w:r>
      <w:r>
        <w:t>at</w:t>
      </w:r>
      <w:r>
        <w:rPr>
          <w:spacing w:val="-12"/>
        </w:rPr>
        <w:t xml:space="preserve"> </w:t>
      </w:r>
      <w:r>
        <w:t>EU</w:t>
      </w:r>
      <w:r>
        <w:rPr>
          <w:spacing w:val="-13"/>
        </w:rPr>
        <w:t xml:space="preserve"> </w:t>
      </w:r>
      <w:r>
        <w:t>institutions, with the objective of ensuring full implementation of UNCRPD.</w:t>
      </w:r>
    </w:p>
    <w:p w14:paraId="506A7A4B" w14:textId="77777777" w:rsidR="00161C10" w:rsidRDefault="00CE2C8C">
      <w:pPr>
        <w:spacing w:before="118"/>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1FE260C5" w14:textId="77777777" w:rsidR="00161C10" w:rsidRDefault="00CE2C8C">
      <w:pPr>
        <w:pStyle w:val="BodyText"/>
        <w:spacing w:before="3"/>
        <w:rPr>
          <w:rFonts w:ascii="Arial"/>
          <w:b/>
          <w:i/>
          <w:sz w:val="12"/>
        </w:rPr>
      </w:pPr>
      <w:r>
        <w:rPr>
          <w:rFonts w:ascii="Arial"/>
          <w:b/>
          <w:i/>
          <w:noProof/>
          <w:sz w:val="12"/>
        </w:rPr>
        <mc:AlternateContent>
          <mc:Choice Requires="wps">
            <w:drawing>
              <wp:anchor distT="0" distB="0" distL="0" distR="0" simplePos="0" relativeHeight="487592960" behindDoc="1" locked="0" layoutInCell="1" allowOverlap="1" wp14:anchorId="5FACC89A" wp14:editId="0298A932">
                <wp:simplePos x="0" y="0"/>
                <wp:positionH relativeFrom="page">
                  <wp:posOffset>843076</wp:posOffset>
                </wp:positionH>
                <wp:positionV relativeFrom="paragraph">
                  <wp:posOffset>108358</wp:posOffset>
                </wp:positionV>
                <wp:extent cx="6088380" cy="103695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1036955"/>
                        </a:xfrm>
                        <a:prstGeom prst="rect">
                          <a:avLst/>
                        </a:prstGeom>
                        <a:ln w="6095">
                          <a:solidFill>
                            <a:srgbClr val="000000"/>
                          </a:solidFill>
                          <a:prstDash val="solid"/>
                        </a:ln>
                      </wps:spPr>
                      <wps:txbx>
                        <w:txbxContent>
                          <w:p w14:paraId="497C526C" w14:textId="77777777" w:rsidR="00161C10" w:rsidRDefault="00CE2C8C">
                            <w:pPr>
                              <w:spacing w:before="19" w:line="276" w:lineRule="auto"/>
                              <w:ind w:left="108" w:right="109"/>
                              <w:jc w:val="both"/>
                              <w:rPr>
                                <w:rFonts w:ascii="Arial"/>
                                <w:b/>
                                <w:sz w:val="24"/>
                              </w:rPr>
                            </w:pPr>
                            <w:r>
                              <w:rPr>
                                <w:rFonts w:ascii="Arial"/>
                                <w:b/>
                                <w:sz w:val="24"/>
                              </w:rPr>
                              <w:t>The</w:t>
                            </w:r>
                            <w:r>
                              <w:rPr>
                                <w:rFonts w:ascii="Arial"/>
                                <w:b/>
                                <w:spacing w:val="-11"/>
                                <w:sz w:val="24"/>
                              </w:rPr>
                              <w:t xml:space="preserve"> </w:t>
                            </w:r>
                            <w:r>
                              <w:rPr>
                                <w:rFonts w:ascii="Arial"/>
                                <w:b/>
                                <w:sz w:val="24"/>
                              </w:rPr>
                              <w:t>Committee</w:t>
                            </w:r>
                            <w:r>
                              <w:rPr>
                                <w:rFonts w:ascii="Arial"/>
                                <w:b/>
                                <w:spacing w:val="-12"/>
                                <w:sz w:val="24"/>
                              </w:rPr>
                              <w:t xml:space="preserve"> </w:t>
                            </w:r>
                            <w:r>
                              <w:rPr>
                                <w:rFonts w:ascii="Arial"/>
                                <w:b/>
                                <w:sz w:val="24"/>
                              </w:rPr>
                              <w:t>recommends</w:t>
                            </w:r>
                            <w:r>
                              <w:rPr>
                                <w:rFonts w:ascii="Arial"/>
                                <w:b/>
                                <w:spacing w:val="-11"/>
                                <w:sz w:val="24"/>
                              </w:rPr>
                              <w:t xml:space="preserve"> </w:t>
                            </w:r>
                            <w:r>
                              <w:rPr>
                                <w:rFonts w:ascii="Arial"/>
                                <w:b/>
                                <w:sz w:val="24"/>
                              </w:rPr>
                              <w:t>that</w:t>
                            </w:r>
                            <w:r>
                              <w:rPr>
                                <w:rFonts w:ascii="Arial"/>
                                <w:b/>
                                <w:spacing w:val="-11"/>
                                <w:sz w:val="24"/>
                              </w:rPr>
                              <w:t xml:space="preserve"> </w:t>
                            </w:r>
                            <w:r>
                              <w:rPr>
                                <w:rFonts w:ascii="Arial"/>
                                <w:b/>
                                <w:sz w:val="24"/>
                              </w:rPr>
                              <w:t>the</w:t>
                            </w:r>
                            <w:r>
                              <w:rPr>
                                <w:rFonts w:ascii="Arial"/>
                                <w:b/>
                                <w:spacing w:val="-10"/>
                                <w:sz w:val="24"/>
                              </w:rPr>
                              <w:t xml:space="preserve"> </w:t>
                            </w:r>
                            <w:r>
                              <w:rPr>
                                <w:rFonts w:ascii="Arial"/>
                                <w:b/>
                                <w:sz w:val="24"/>
                              </w:rPr>
                              <w:t>EU</w:t>
                            </w:r>
                            <w:r>
                              <w:rPr>
                                <w:rFonts w:ascii="Arial"/>
                                <w:b/>
                                <w:spacing w:val="-13"/>
                                <w:sz w:val="24"/>
                              </w:rPr>
                              <w:t xml:space="preserve"> </w:t>
                            </w:r>
                            <w:r>
                              <w:rPr>
                                <w:rFonts w:ascii="Arial"/>
                                <w:b/>
                                <w:sz w:val="24"/>
                              </w:rPr>
                              <w:t>maintains</w:t>
                            </w:r>
                            <w:r>
                              <w:rPr>
                                <w:rFonts w:ascii="Arial"/>
                                <w:b/>
                                <w:spacing w:val="-12"/>
                                <w:sz w:val="24"/>
                              </w:rPr>
                              <w:t xml:space="preserve"> </w:t>
                            </w:r>
                            <w:r>
                              <w:rPr>
                                <w:rFonts w:ascii="Arial"/>
                                <w:b/>
                                <w:sz w:val="24"/>
                              </w:rPr>
                              <w:t>adequate</w:t>
                            </w:r>
                            <w:r>
                              <w:rPr>
                                <w:rFonts w:ascii="Arial"/>
                                <w:b/>
                                <w:spacing w:val="-10"/>
                                <w:sz w:val="24"/>
                              </w:rPr>
                              <w:t xml:space="preserve"> </w:t>
                            </w:r>
                            <w:r>
                              <w:rPr>
                                <w:rFonts w:ascii="Arial"/>
                                <w:b/>
                                <w:sz w:val="24"/>
                              </w:rPr>
                              <w:t>funding</w:t>
                            </w:r>
                            <w:r>
                              <w:rPr>
                                <w:rFonts w:ascii="Arial"/>
                                <w:b/>
                                <w:spacing w:val="-11"/>
                                <w:sz w:val="24"/>
                              </w:rPr>
                              <w:t xml:space="preserve"> </w:t>
                            </w:r>
                            <w:r>
                              <w:rPr>
                                <w:rFonts w:ascii="Arial"/>
                                <w:b/>
                                <w:sz w:val="24"/>
                              </w:rPr>
                              <w:t>for</w:t>
                            </w:r>
                            <w:r>
                              <w:rPr>
                                <w:rFonts w:ascii="Arial"/>
                                <w:b/>
                                <w:spacing w:val="-11"/>
                                <w:sz w:val="24"/>
                              </w:rPr>
                              <w:t xml:space="preserve"> </w:t>
                            </w:r>
                            <w:r>
                              <w:rPr>
                                <w:rFonts w:ascii="Arial"/>
                                <w:b/>
                                <w:sz w:val="24"/>
                              </w:rPr>
                              <w:t>advocacy activities for EU-wide disability networks and DPOs, including lobbying activities to</w:t>
                            </w:r>
                            <w:r>
                              <w:rPr>
                                <w:rFonts w:ascii="Arial"/>
                                <w:b/>
                                <w:spacing w:val="-13"/>
                                <w:sz w:val="24"/>
                              </w:rPr>
                              <w:t xml:space="preserve"> </w:t>
                            </w:r>
                            <w:r>
                              <w:rPr>
                                <w:rFonts w:ascii="Arial"/>
                                <w:b/>
                                <w:sz w:val="24"/>
                              </w:rPr>
                              <w:t>promote</w:t>
                            </w:r>
                            <w:r>
                              <w:rPr>
                                <w:rFonts w:ascii="Arial"/>
                                <w:b/>
                                <w:spacing w:val="-12"/>
                                <w:sz w:val="24"/>
                              </w:rPr>
                              <w:t xml:space="preserve"> </w:t>
                            </w:r>
                            <w:r>
                              <w:rPr>
                                <w:rFonts w:ascii="Arial"/>
                                <w:b/>
                                <w:sz w:val="24"/>
                              </w:rPr>
                              <w:t>full</w:t>
                            </w:r>
                            <w:r>
                              <w:rPr>
                                <w:rFonts w:ascii="Arial"/>
                                <w:b/>
                                <w:spacing w:val="-12"/>
                                <w:sz w:val="24"/>
                              </w:rPr>
                              <w:t xml:space="preserve"> </w:t>
                            </w:r>
                            <w:r>
                              <w:rPr>
                                <w:rFonts w:ascii="Arial"/>
                                <w:b/>
                                <w:sz w:val="24"/>
                              </w:rPr>
                              <w:t>implementation</w:t>
                            </w:r>
                            <w:r>
                              <w:rPr>
                                <w:rFonts w:ascii="Arial"/>
                                <w:b/>
                                <w:spacing w:val="-13"/>
                                <w:sz w:val="24"/>
                              </w:rPr>
                              <w:t xml:space="preserve"> </w:t>
                            </w:r>
                            <w:r>
                              <w:rPr>
                                <w:rFonts w:ascii="Arial"/>
                                <w:b/>
                                <w:sz w:val="24"/>
                              </w:rPr>
                              <w:t>of</w:t>
                            </w:r>
                            <w:r>
                              <w:rPr>
                                <w:rFonts w:ascii="Arial"/>
                                <w:b/>
                                <w:spacing w:val="-14"/>
                                <w:sz w:val="24"/>
                              </w:rPr>
                              <w:t xml:space="preserve"> </w:t>
                            </w:r>
                            <w:r>
                              <w:rPr>
                                <w:rFonts w:ascii="Arial"/>
                                <w:b/>
                                <w:sz w:val="24"/>
                              </w:rPr>
                              <w:t>the</w:t>
                            </w:r>
                            <w:r>
                              <w:rPr>
                                <w:rFonts w:ascii="Arial"/>
                                <w:b/>
                                <w:spacing w:val="-12"/>
                                <w:sz w:val="24"/>
                              </w:rPr>
                              <w:t xml:space="preserve"> </w:t>
                            </w:r>
                            <w:r>
                              <w:rPr>
                                <w:rFonts w:ascii="Arial"/>
                                <w:b/>
                                <w:sz w:val="24"/>
                              </w:rPr>
                              <w:t>UNCRPD,</w:t>
                            </w:r>
                            <w:r>
                              <w:rPr>
                                <w:rFonts w:ascii="Arial"/>
                                <w:b/>
                                <w:spacing w:val="-12"/>
                                <w:sz w:val="24"/>
                              </w:rPr>
                              <w:t xml:space="preserve"> </w:t>
                            </w:r>
                            <w:r>
                              <w:rPr>
                                <w:rFonts w:ascii="Arial"/>
                                <w:b/>
                                <w:sz w:val="24"/>
                              </w:rPr>
                              <w:t>within</w:t>
                            </w:r>
                            <w:r>
                              <w:rPr>
                                <w:rFonts w:ascii="Arial"/>
                                <w:b/>
                                <w:spacing w:val="-12"/>
                                <w:sz w:val="24"/>
                              </w:rPr>
                              <w:t xml:space="preserve"> </w:t>
                            </w:r>
                            <w:r>
                              <w:rPr>
                                <w:rFonts w:ascii="Arial"/>
                                <w:b/>
                                <w:sz w:val="24"/>
                              </w:rPr>
                              <w:t>and</w:t>
                            </w:r>
                            <w:r>
                              <w:rPr>
                                <w:rFonts w:ascii="Arial"/>
                                <w:b/>
                                <w:spacing w:val="-13"/>
                                <w:sz w:val="24"/>
                              </w:rPr>
                              <w:t xml:space="preserve"> </w:t>
                            </w:r>
                            <w:r>
                              <w:rPr>
                                <w:rFonts w:ascii="Arial"/>
                                <w:b/>
                                <w:sz w:val="24"/>
                              </w:rPr>
                              <w:t>outside</w:t>
                            </w:r>
                            <w:r>
                              <w:rPr>
                                <w:rFonts w:ascii="Arial"/>
                                <w:b/>
                                <w:spacing w:val="-12"/>
                                <w:sz w:val="24"/>
                              </w:rPr>
                              <w:t xml:space="preserve"> </w:t>
                            </w:r>
                            <w:r>
                              <w:rPr>
                                <w:rFonts w:ascii="Arial"/>
                                <w:b/>
                                <w:sz w:val="24"/>
                              </w:rPr>
                              <w:t>of</w:t>
                            </w:r>
                            <w:r>
                              <w:rPr>
                                <w:rFonts w:ascii="Arial"/>
                                <w:b/>
                                <w:spacing w:val="-14"/>
                                <w:sz w:val="24"/>
                              </w:rPr>
                              <w:t xml:space="preserve"> </w:t>
                            </w:r>
                            <w:r>
                              <w:rPr>
                                <w:rFonts w:ascii="Arial"/>
                                <w:b/>
                                <w:sz w:val="24"/>
                              </w:rPr>
                              <w:t>the</w:t>
                            </w:r>
                            <w:r>
                              <w:rPr>
                                <w:rFonts w:ascii="Arial"/>
                                <w:b/>
                                <w:spacing w:val="-12"/>
                                <w:sz w:val="24"/>
                              </w:rPr>
                              <w:t xml:space="preserve"> </w:t>
                            </w:r>
                            <w:r>
                              <w:rPr>
                                <w:rFonts w:ascii="Arial"/>
                                <w:b/>
                                <w:sz w:val="24"/>
                              </w:rPr>
                              <w:t>European Union.</w:t>
                            </w:r>
                            <w:r>
                              <w:rPr>
                                <w:rFonts w:ascii="Arial"/>
                                <w:b/>
                                <w:spacing w:val="-2"/>
                                <w:sz w:val="24"/>
                              </w:rPr>
                              <w:t xml:space="preserve"> </w:t>
                            </w:r>
                            <w:r>
                              <w:rPr>
                                <w:rFonts w:ascii="Arial"/>
                                <w:b/>
                                <w:sz w:val="24"/>
                              </w:rPr>
                              <w:t>The</w:t>
                            </w:r>
                            <w:r>
                              <w:rPr>
                                <w:rFonts w:ascii="Arial"/>
                                <w:b/>
                                <w:spacing w:val="-2"/>
                                <w:sz w:val="24"/>
                              </w:rPr>
                              <w:t xml:space="preserve"> </w:t>
                            </w:r>
                            <w:r>
                              <w:rPr>
                                <w:rFonts w:ascii="Arial"/>
                                <w:b/>
                                <w:sz w:val="24"/>
                              </w:rPr>
                              <w:t>EU</w:t>
                            </w:r>
                            <w:r>
                              <w:rPr>
                                <w:rFonts w:ascii="Arial"/>
                                <w:b/>
                                <w:spacing w:val="-1"/>
                                <w:sz w:val="24"/>
                              </w:rPr>
                              <w:t xml:space="preserve"> </w:t>
                            </w:r>
                            <w:r>
                              <w:rPr>
                                <w:rFonts w:ascii="Arial"/>
                                <w:b/>
                                <w:sz w:val="24"/>
                              </w:rPr>
                              <w:t>must</w:t>
                            </w:r>
                            <w:r>
                              <w:rPr>
                                <w:rFonts w:ascii="Arial"/>
                                <w:b/>
                                <w:spacing w:val="-2"/>
                                <w:sz w:val="24"/>
                              </w:rPr>
                              <w:t xml:space="preserve"> </w:t>
                            </w:r>
                            <w:r>
                              <w:rPr>
                                <w:rFonts w:ascii="Arial"/>
                                <w:b/>
                                <w:sz w:val="24"/>
                              </w:rPr>
                              <w:t>review</w:t>
                            </w:r>
                            <w:r>
                              <w:rPr>
                                <w:rFonts w:ascii="Arial"/>
                                <w:b/>
                                <w:spacing w:val="-2"/>
                                <w:sz w:val="24"/>
                              </w:rPr>
                              <w:t xml:space="preserve"> </w:t>
                            </w:r>
                            <w:r>
                              <w:rPr>
                                <w:rFonts w:ascii="Arial"/>
                                <w:b/>
                                <w:sz w:val="24"/>
                              </w:rPr>
                              <w:t>the</w:t>
                            </w:r>
                            <w:r>
                              <w:rPr>
                                <w:rFonts w:ascii="Arial"/>
                                <w:b/>
                                <w:spacing w:val="-2"/>
                                <w:sz w:val="24"/>
                              </w:rPr>
                              <w:t xml:space="preserve"> </w:t>
                            </w:r>
                            <w:r>
                              <w:rPr>
                                <w:rFonts w:ascii="Arial"/>
                                <w:b/>
                                <w:sz w:val="24"/>
                              </w:rPr>
                              <w:t>recent</w:t>
                            </w:r>
                            <w:r>
                              <w:rPr>
                                <w:rFonts w:ascii="Arial"/>
                                <w:b/>
                                <w:spacing w:val="-3"/>
                                <w:sz w:val="24"/>
                              </w:rPr>
                              <w:t xml:space="preserve"> </w:t>
                            </w:r>
                            <w:r>
                              <w:rPr>
                                <w:rFonts w:ascii="Arial"/>
                                <w:b/>
                                <w:sz w:val="24"/>
                              </w:rPr>
                              <w:t>Legal</w:t>
                            </w:r>
                            <w:r>
                              <w:rPr>
                                <w:rFonts w:ascii="Arial"/>
                                <w:b/>
                                <w:spacing w:val="-2"/>
                                <w:sz w:val="24"/>
                              </w:rPr>
                              <w:t xml:space="preserve"> </w:t>
                            </w:r>
                            <w:r>
                              <w:rPr>
                                <w:rFonts w:ascii="Arial"/>
                                <w:b/>
                                <w:sz w:val="24"/>
                              </w:rPr>
                              <w:t>Service</w:t>
                            </w:r>
                            <w:r>
                              <w:rPr>
                                <w:rFonts w:ascii="Arial"/>
                                <w:b/>
                                <w:spacing w:val="-2"/>
                                <w:sz w:val="24"/>
                              </w:rPr>
                              <w:t xml:space="preserve"> </w:t>
                            </w:r>
                            <w:r>
                              <w:rPr>
                                <w:rFonts w:ascii="Arial"/>
                                <w:b/>
                                <w:sz w:val="24"/>
                              </w:rPr>
                              <w:t>guidance</w:t>
                            </w:r>
                            <w:r>
                              <w:rPr>
                                <w:rFonts w:ascii="Arial"/>
                                <w:b/>
                                <w:spacing w:val="-4"/>
                                <w:sz w:val="24"/>
                              </w:rPr>
                              <w:t xml:space="preserve"> </w:t>
                            </w:r>
                            <w:r>
                              <w:rPr>
                                <w:rFonts w:ascii="Arial"/>
                                <w:b/>
                                <w:sz w:val="24"/>
                              </w:rPr>
                              <w:t>and</w:t>
                            </w:r>
                            <w:r>
                              <w:rPr>
                                <w:rFonts w:ascii="Arial"/>
                                <w:b/>
                                <w:spacing w:val="-2"/>
                                <w:sz w:val="24"/>
                              </w:rPr>
                              <w:t xml:space="preserve"> </w:t>
                            </w:r>
                            <w:r>
                              <w:rPr>
                                <w:rFonts w:ascii="Arial"/>
                                <w:b/>
                                <w:sz w:val="24"/>
                              </w:rPr>
                              <w:t>align</w:t>
                            </w:r>
                            <w:r>
                              <w:rPr>
                                <w:rFonts w:ascii="Arial"/>
                                <w:b/>
                                <w:spacing w:val="-2"/>
                                <w:sz w:val="24"/>
                              </w:rPr>
                              <w:t xml:space="preserve"> </w:t>
                            </w:r>
                            <w:r>
                              <w:rPr>
                                <w:rFonts w:ascii="Arial"/>
                                <w:b/>
                                <w:sz w:val="24"/>
                              </w:rPr>
                              <w:t>it</w:t>
                            </w:r>
                            <w:r>
                              <w:rPr>
                                <w:rFonts w:ascii="Arial"/>
                                <w:b/>
                                <w:spacing w:val="-2"/>
                                <w:sz w:val="24"/>
                              </w:rPr>
                              <w:t xml:space="preserve"> </w:t>
                            </w:r>
                            <w:r>
                              <w:rPr>
                                <w:rFonts w:ascii="Arial"/>
                                <w:b/>
                                <w:sz w:val="24"/>
                              </w:rPr>
                              <w:t>with</w:t>
                            </w:r>
                            <w:r>
                              <w:rPr>
                                <w:rFonts w:ascii="Arial"/>
                                <w:b/>
                                <w:spacing w:val="-2"/>
                                <w:sz w:val="24"/>
                              </w:rPr>
                              <w:t xml:space="preserve"> </w:t>
                            </w:r>
                            <w:r>
                              <w:rPr>
                                <w:rFonts w:ascii="Arial"/>
                                <w:b/>
                                <w:sz w:val="24"/>
                              </w:rPr>
                              <w:t>the General Comment 7.</w:t>
                            </w:r>
                          </w:p>
                        </w:txbxContent>
                      </wps:txbx>
                      <wps:bodyPr wrap="square" lIns="0" tIns="0" rIns="0" bIns="0" rtlCol="0">
                        <a:noAutofit/>
                      </wps:bodyPr>
                    </wps:wsp>
                  </a:graphicData>
                </a:graphic>
              </wp:anchor>
            </w:drawing>
          </mc:Choice>
          <mc:Fallback>
            <w:pict>
              <v:shape w14:anchorId="5FACC89A" id="Textbox 17" o:spid="_x0000_s1036" type="#_x0000_t202" style="position:absolute;margin-left:66.4pt;margin-top:8.55pt;width:479.4pt;height:81.6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" filled="f" strokeweight=".16931mm">
                <v:path arrowok="t"/>
                <v:textbox inset="0,0,0,0">
                  <w:txbxContent>
                    <w:p w14:paraId="497C526C" w14:textId="77777777" w:rsidR="00161C10" w:rsidRDefault="00CE2C8C">
                      <w:pPr>
                        <w:spacing w:before="19" w:line="276" w:lineRule="auto"/>
                        <w:ind w:left="108" w:right="109"/>
                        <w:jc w:val="both"/>
                        <w:rPr>
                          <w:rFonts w:ascii="Arial"/>
                          <w:b/>
                          <w:sz w:val="24"/>
                        </w:rPr>
                      </w:pPr>
                      <w:r>
                        <w:rPr>
                          <w:rFonts w:ascii="Arial"/>
                          <w:b/>
                          <w:sz w:val="24"/>
                        </w:rPr>
                        <w:t>The</w:t>
                      </w:r>
                      <w:r>
                        <w:rPr>
                          <w:rFonts w:ascii="Arial"/>
                          <w:b/>
                          <w:spacing w:val="-11"/>
                          <w:sz w:val="24"/>
                        </w:rPr>
                        <w:t xml:space="preserve"> </w:t>
                      </w:r>
                      <w:r>
                        <w:rPr>
                          <w:rFonts w:ascii="Arial"/>
                          <w:b/>
                          <w:sz w:val="24"/>
                        </w:rPr>
                        <w:t>Committee</w:t>
                      </w:r>
                      <w:r>
                        <w:rPr>
                          <w:rFonts w:ascii="Arial"/>
                          <w:b/>
                          <w:spacing w:val="-12"/>
                          <w:sz w:val="24"/>
                        </w:rPr>
                        <w:t xml:space="preserve"> </w:t>
                      </w:r>
                      <w:r>
                        <w:rPr>
                          <w:rFonts w:ascii="Arial"/>
                          <w:b/>
                          <w:sz w:val="24"/>
                        </w:rPr>
                        <w:t>recommends</w:t>
                      </w:r>
                      <w:r>
                        <w:rPr>
                          <w:rFonts w:ascii="Arial"/>
                          <w:b/>
                          <w:spacing w:val="-11"/>
                          <w:sz w:val="24"/>
                        </w:rPr>
                        <w:t xml:space="preserve"> </w:t>
                      </w:r>
                      <w:r>
                        <w:rPr>
                          <w:rFonts w:ascii="Arial"/>
                          <w:b/>
                          <w:sz w:val="24"/>
                        </w:rPr>
                        <w:t>that</w:t>
                      </w:r>
                      <w:r>
                        <w:rPr>
                          <w:rFonts w:ascii="Arial"/>
                          <w:b/>
                          <w:spacing w:val="-11"/>
                          <w:sz w:val="24"/>
                        </w:rPr>
                        <w:t xml:space="preserve"> </w:t>
                      </w:r>
                      <w:r>
                        <w:rPr>
                          <w:rFonts w:ascii="Arial"/>
                          <w:b/>
                          <w:sz w:val="24"/>
                        </w:rPr>
                        <w:t>the</w:t>
                      </w:r>
                      <w:r>
                        <w:rPr>
                          <w:rFonts w:ascii="Arial"/>
                          <w:b/>
                          <w:spacing w:val="-10"/>
                          <w:sz w:val="24"/>
                        </w:rPr>
                        <w:t xml:space="preserve"> </w:t>
                      </w:r>
                      <w:r>
                        <w:rPr>
                          <w:rFonts w:ascii="Arial"/>
                          <w:b/>
                          <w:sz w:val="24"/>
                        </w:rPr>
                        <w:t>EU</w:t>
                      </w:r>
                      <w:r>
                        <w:rPr>
                          <w:rFonts w:ascii="Arial"/>
                          <w:b/>
                          <w:spacing w:val="-13"/>
                          <w:sz w:val="24"/>
                        </w:rPr>
                        <w:t xml:space="preserve"> </w:t>
                      </w:r>
                      <w:r>
                        <w:rPr>
                          <w:rFonts w:ascii="Arial"/>
                          <w:b/>
                          <w:sz w:val="24"/>
                        </w:rPr>
                        <w:t>maintains</w:t>
                      </w:r>
                      <w:r>
                        <w:rPr>
                          <w:rFonts w:ascii="Arial"/>
                          <w:b/>
                          <w:spacing w:val="-12"/>
                          <w:sz w:val="24"/>
                        </w:rPr>
                        <w:t xml:space="preserve"> </w:t>
                      </w:r>
                      <w:r>
                        <w:rPr>
                          <w:rFonts w:ascii="Arial"/>
                          <w:b/>
                          <w:sz w:val="24"/>
                        </w:rPr>
                        <w:t>adequate</w:t>
                      </w:r>
                      <w:r>
                        <w:rPr>
                          <w:rFonts w:ascii="Arial"/>
                          <w:b/>
                          <w:spacing w:val="-10"/>
                          <w:sz w:val="24"/>
                        </w:rPr>
                        <w:t xml:space="preserve"> </w:t>
                      </w:r>
                      <w:r>
                        <w:rPr>
                          <w:rFonts w:ascii="Arial"/>
                          <w:b/>
                          <w:sz w:val="24"/>
                        </w:rPr>
                        <w:t>funding</w:t>
                      </w:r>
                      <w:r>
                        <w:rPr>
                          <w:rFonts w:ascii="Arial"/>
                          <w:b/>
                          <w:spacing w:val="-11"/>
                          <w:sz w:val="24"/>
                        </w:rPr>
                        <w:t xml:space="preserve"> </w:t>
                      </w:r>
                      <w:r>
                        <w:rPr>
                          <w:rFonts w:ascii="Arial"/>
                          <w:b/>
                          <w:sz w:val="24"/>
                        </w:rPr>
                        <w:t>for</w:t>
                      </w:r>
                      <w:r>
                        <w:rPr>
                          <w:rFonts w:ascii="Arial"/>
                          <w:b/>
                          <w:spacing w:val="-11"/>
                          <w:sz w:val="24"/>
                        </w:rPr>
                        <w:t xml:space="preserve"> </w:t>
                      </w:r>
                      <w:r>
                        <w:rPr>
                          <w:rFonts w:ascii="Arial"/>
                          <w:b/>
                          <w:sz w:val="24"/>
                        </w:rPr>
                        <w:t>advocacy activities for EU-wide disability networks and DPOs, including lobbying activities to</w:t>
                      </w:r>
                      <w:r>
                        <w:rPr>
                          <w:rFonts w:ascii="Arial"/>
                          <w:b/>
                          <w:spacing w:val="-13"/>
                          <w:sz w:val="24"/>
                        </w:rPr>
                        <w:t xml:space="preserve"> </w:t>
                      </w:r>
                      <w:r>
                        <w:rPr>
                          <w:rFonts w:ascii="Arial"/>
                          <w:b/>
                          <w:sz w:val="24"/>
                        </w:rPr>
                        <w:t>promote</w:t>
                      </w:r>
                      <w:r>
                        <w:rPr>
                          <w:rFonts w:ascii="Arial"/>
                          <w:b/>
                          <w:spacing w:val="-12"/>
                          <w:sz w:val="24"/>
                        </w:rPr>
                        <w:t xml:space="preserve"> </w:t>
                      </w:r>
                      <w:r>
                        <w:rPr>
                          <w:rFonts w:ascii="Arial"/>
                          <w:b/>
                          <w:sz w:val="24"/>
                        </w:rPr>
                        <w:t>full</w:t>
                      </w:r>
                      <w:r>
                        <w:rPr>
                          <w:rFonts w:ascii="Arial"/>
                          <w:b/>
                          <w:spacing w:val="-12"/>
                          <w:sz w:val="24"/>
                        </w:rPr>
                        <w:t xml:space="preserve"> </w:t>
                      </w:r>
                      <w:r>
                        <w:rPr>
                          <w:rFonts w:ascii="Arial"/>
                          <w:b/>
                          <w:sz w:val="24"/>
                        </w:rPr>
                        <w:t>implementation</w:t>
                      </w:r>
                      <w:r>
                        <w:rPr>
                          <w:rFonts w:ascii="Arial"/>
                          <w:b/>
                          <w:spacing w:val="-13"/>
                          <w:sz w:val="24"/>
                        </w:rPr>
                        <w:t xml:space="preserve"> </w:t>
                      </w:r>
                      <w:r>
                        <w:rPr>
                          <w:rFonts w:ascii="Arial"/>
                          <w:b/>
                          <w:sz w:val="24"/>
                        </w:rPr>
                        <w:t>of</w:t>
                      </w:r>
                      <w:r>
                        <w:rPr>
                          <w:rFonts w:ascii="Arial"/>
                          <w:b/>
                          <w:spacing w:val="-14"/>
                          <w:sz w:val="24"/>
                        </w:rPr>
                        <w:t xml:space="preserve"> </w:t>
                      </w:r>
                      <w:r>
                        <w:rPr>
                          <w:rFonts w:ascii="Arial"/>
                          <w:b/>
                          <w:sz w:val="24"/>
                        </w:rPr>
                        <w:t>the</w:t>
                      </w:r>
                      <w:r>
                        <w:rPr>
                          <w:rFonts w:ascii="Arial"/>
                          <w:b/>
                          <w:spacing w:val="-12"/>
                          <w:sz w:val="24"/>
                        </w:rPr>
                        <w:t xml:space="preserve"> </w:t>
                      </w:r>
                      <w:r>
                        <w:rPr>
                          <w:rFonts w:ascii="Arial"/>
                          <w:b/>
                          <w:sz w:val="24"/>
                        </w:rPr>
                        <w:t>UNCRPD,</w:t>
                      </w:r>
                      <w:r>
                        <w:rPr>
                          <w:rFonts w:ascii="Arial"/>
                          <w:b/>
                          <w:spacing w:val="-12"/>
                          <w:sz w:val="24"/>
                        </w:rPr>
                        <w:t xml:space="preserve"> </w:t>
                      </w:r>
                      <w:r>
                        <w:rPr>
                          <w:rFonts w:ascii="Arial"/>
                          <w:b/>
                          <w:sz w:val="24"/>
                        </w:rPr>
                        <w:t>within</w:t>
                      </w:r>
                      <w:r>
                        <w:rPr>
                          <w:rFonts w:ascii="Arial"/>
                          <w:b/>
                          <w:spacing w:val="-12"/>
                          <w:sz w:val="24"/>
                        </w:rPr>
                        <w:t xml:space="preserve"> </w:t>
                      </w:r>
                      <w:r>
                        <w:rPr>
                          <w:rFonts w:ascii="Arial"/>
                          <w:b/>
                          <w:sz w:val="24"/>
                        </w:rPr>
                        <w:t>and</w:t>
                      </w:r>
                      <w:r>
                        <w:rPr>
                          <w:rFonts w:ascii="Arial"/>
                          <w:b/>
                          <w:spacing w:val="-13"/>
                          <w:sz w:val="24"/>
                        </w:rPr>
                        <w:t xml:space="preserve"> </w:t>
                      </w:r>
                      <w:r>
                        <w:rPr>
                          <w:rFonts w:ascii="Arial"/>
                          <w:b/>
                          <w:sz w:val="24"/>
                        </w:rPr>
                        <w:t>outside</w:t>
                      </w:r>
                      <w:r>
                        <w:rPr>
                          <w:rFonts w:ascii="Arial"/>
                          <w:b/>
                          <w:spacing w:val="-12"/>
                          <w:sz w:val="24"/>
                        </w:rPr>
                        <w:t xml:space="preserve"> </w:t>
                      </w:r>
                      <w:r>
                        <w:rPr>
                          <w:rFonts w:ascii="Arial"/>
                          <w:b/>
                          <w:sz w:val="24"/>
                        </w:rPr>
                        <w:t>of</w:t>
                      </w:r>
                      <w:r>
                        <w:rPr>
                          <w:rFonts w:ascii="Arial"/>
                          <w:b/>
                          <w:spacing w:val="-14"/>
                          <w:sz w:val="24"/>
                        </w:rPr>
                        <w:t xml:space="preserve"> </w:t>
                      </w:r>
                      <w:r>
                        <w:rPr>
                          <w:rFonts w:ascii="Arial"/>
                          <w:b/>
                          <w:sz w:val="24"/>
                        </w:rPr>
                        <w:t>the</w:t>
                      </w:r>
                      <w:r>
                        <w:rPr>
                          <w:rFonts w:ascii="Arial"/>
                          <w:b/>
                          <w:spacing w:val="-12"/>
                          <w:sz w:val="24"/>
                        </w:rPr>
                        <w:t xml:space="preserve"> </w:t>
                      </w:r>
                      <w:r>
                        <w:rPr>
                          <w:rFonts w:ascii="Arial"/>
                          <w:b/>
                          <w:sz w:val="24"/>
                        </w:rPr>
                        <w:t>European Union.</w:t>
                      </w:r>
                      <w:r>
                        <w:rPr>
                          <w:rFonts w:ascii="Arial"/>
                          <w:b/>
                          <w:spacing w:val="-2"/>
                          <w:sz w:val="24"/>
                        </w:rPr>
                        <w:t xml:space="preserve"> </w:t>
                      </w:r>
                      <w:r>
                        <w:rPr>
                          <w:rFonts w:ascii="Arial"/>
                          <w:b/>
                          <w:sz w:val="24"/>
                        </w:rPr>
                        <w:t>The</w:t>
                      </w:r>
                      <w:r>
                        <w:rPr>
                          <w:rFonts w:ascii="Arial"/>
                          <w:b/>
                          <w:spacing w:val="-2"/>
                          <w:sz w:val="24"/>
                        </w:rPr>
                        <w:t xml:space="preserve"> </w:t>
                      </w:r>
                      <w:r>
                        <w:rPr>
                          <w:rFonts w:ascii="Arial"/>
                          <w:b/>
                          <w:sz w:val="24"/>
                        </w:rPr>
                        <w:t>EU</w:t>
                      </w:r>
                      <w:r>
                        <w:rPr>
                          <w:rFonts w:ascii="Arial"/>
                          <w:b/>
                          <w:spacing w:val="-1"/>
                          <w:sz w:val="24"/>
                        </w:rPr>
                        <w:t xml:space="preserve"> </w:t>
                      </w:r>
                      <w:r>
                        <w:rPr>
                          <w:rFonts w:ascii="Arial"/>
                          <w:b/>
                          <w:sz w:val="24"/>
                        </w:rPr>
                        <w:t>must</w:t>
                      </w:r>
                      <w:r>
                        <w:rPr>
                          <w:rFonts w:ascii="Arial"/>
                          <w:b/>
                          <w:spacing w:val="-2"/>
                          <w:sz w:val="24"/>
                        </w:rPr>
                        <w:t xml:space="preserve"> </w:t>
                      </w:r>
                      <w:r>
                        <w:rPr>
                          <w:rFonts w:ascii="Arial"/>
                          <w:b/>
                          <w:sz w:val="24"/>
                        </w:rPr>
                        <w:t>review</w:t>
                      </w:r>
                      <w:r>
                        <w:rPr>
                          <w:rFonts w:ascii="Arial"/>
                          <w:b/>
                          <w:spacing w:val="-2"/>
                          <w:sz w:val="24"/>
                        </w:rPr>
                        <w:t xml:space="preserve"> </w:t>
                      </w:r>
                      <w:r>
                        <w:rPr>
                          <w:rFonts w:ascii="Arial"/>
                          <w:b/>
                          <w:sz w:val="24"/>
                        </w:rPr>
                        <w:t>the</w:t>
                      </w:r>
                      <w:r>
                        <w:rPr>
                          <w:rFonts w:ascii="Arial"/>
                          <w:b/>
                          <w:spacing w:val="-2"/>
                          <w:sz w:val="24"/>
                        </w:rPr>
                        <w:t xml:space="preserve"> </w:t>
                      </w:r>
                      <w:r>
                        <w:rPr>
                          <w:rFonts w:ascii="Arial"/>
                          <w:b/>
                          <w:sz w:val="24"/>
                        </w:rPr>
                        <w:t>recent</w:t>
                      </w:r>
                      <w:r>
                        <w:rPr>
                          <w:rFonts w:ascii="Arial"/>
                          <w:b/>
                          <w:spacing w:val="-3"/>
                          <w:sz w:val="24"/>
                        </w:rPr>
                        <w:t xml:space="preserve"> </w:t>
                      </w:r>
                      <w:r>
                        <w:rPr>
                          <w:rFonts w:ascii="Arial"/>
                          <w:b/>
                          <w:sz w:val="24"/>
                        </w:rPr>
                        <w:t>Legal</w:t>
                      </w:r>
                      <w:r>
                        <w:rPr>
                          <w:rFonts w:ascii="Arial"/>
                          <w:b/>
                          <w:spacing w:val="-2"/>
                          <w:sz w:val="24"/>
                        </w:rPr>
                        <w:t xml:space="preserve"> </w:t>
                      </w:r>
                      <w:r>
                        <w:rPr>
                          <w:rFonts w:ascii="Arial"/>
                          <w:b/>
                          <w:sz w:val="24"/>
                        </w:rPr>
                        <w:t>Service</w:t>
                      </w:r>
                      <w:r>
                        <w:rPr>
                          <w:rFonts w:ascii="Arial"/>
                          <w:b/>
                          <w:spacing w:val="-2"/>
                          <w:sz w:val="24"/>
                        </w:rPr>
                        <w:t xml:space="preserve"> </w:t>
                      </w:r>
                      <w:r>
                        <w:rPr>
                          <w:rFonts w:ascii="Arial"/>
                          <w:b/>
                          <w:sz w:val="24"/>
                        </w:rPr>
                        <w:t>guidance</w:t>
                      </w:r>
                      <w:r>
                        <w:rPr>
                          <w:rFonts w:ascii="Arial"/>
                          <w:b/>
                          <w:spacing w:val="-4"/>
                          <w:sz w:val="24"/>
                        </w:rPr>
                        <w:t xml:space="preserve"> </w:t>
                      </w:r>
                      <w:r>
                        <w:rPr>
                          <w:rFonts w:ascii="Arial"/>
                          <w:b/>
                          <w:sz w:val="24"/>
                        </w:rPr>
                        <w:t>and</w:t>
                      </w:r>
                      <w:r>
                        <w:rPr>
                          <w:rFonts w:ascii="Arial"/>
                          <w:b/>
                          <w:spacing w:val="-2"/>
                          <w:sz w:val="24"/>
                        </w:rPr>
                        <w:t xml:space="preserve"> </w:t>
                      </w:r>
                      <w:r>
                        <w:rPr>
                          <w:rFonts w:ascii="Arial"/>
                          <w:b/>
                          <w:sz w:val="24"/>
                        </w:rPr>
                        <w:t>align</w:t>
                      </w:r>
                      <w:r>
                        <w:rPr>
                          <w:rFonts w:ascii="Arial"/>
                          <w:b/>
                          <w:spacing w:val="-2"/>
                          <w:sz w:val="24"/>
                        </w:rPr>
                        <w:t xml:space="preserve"> </w:t>
                      </w:r>
                      <w:r>
                        <w:rPr>
                          <w:rFonts w:ascii="Arial"/>
                          <w:b/>
                          <w:sz w:val="24"/>
                        </w:rPr>
                        <w:t>it</w:t>
                      </w:r>
                      <w:r>
                        <w:rPr>
                          <w:rFonts w:ascii="Arial"/>
                          <w:b/>
                          <w:spacing w:val="-2"/>
                          <w:sz w:val="24"/>
                        </w:rPr>
                        <w:t xml:space="preserve"> </w:t>
                      </w:r>
                      <w:r>
                        <w:rPr>
                          <w:rFonts w:ascii="Arial"/>
                          <w:b/>
                          <w:sz w:val="24"/>
                        </w:rPr>
                        <w:t>with</w:t>
                      </w:r>
                      <w:r>
                        <w:rPr>
                          <w:rFonts w:ascii="Arial"/>
                          <w:b/>
                          <w:spacing w:val="-2"/>
                          <w:sz w:val="24"/>
                        </w:rPr>
                        <w:t xml:space="preserve"> </w:t>
                      </w:r>
                      <w:r>
                        <w:rPr>
                          <w:rFonts w:ascii="Arial"/>
                          <w:b/>
                          <w:sz w:val="24"/>
                        </w:rPr>
                        <w:t>the General Comment 7.</w:t>
                      </w:r>
                    </w:p>
                  </w:txbxContent>
                </v:textbox>
                <w10:wrap type="topAndBottom" anchorx="page"/>
              </v:shape>
            </w:pict>
          </mc:Fallback>
        </mc:AlternateContent>
      </w:r>
    </w:p>
    <w:p w14:paraId="4AA73105" w14:textId="77777777" w:rsidR="00161C10" w:rsidRDefault="00161C10">
      <w:pPr>
        <w:pStyle w:val="BodyText"/>
        <w:spacing w:before="301"/>
        <w:rPr>
          <w:rFonts w:ascii="Arial"/>
          <w:b/>
          <w:i/>
          <w:sz w:val="32"/>
        </w:rPr>
      </w:pPr>
    </w:p>
    <w:p w14:paraId="0B10634A" w14:textId="30612C6E" w:rsidR="00161C10" w:rsidRDefault="00CE2C8C" w:rsidP="005B2E9B">
      <w:pPr>
        <w:pStyle w:val="Heading2"/>
        <w:numPr>
          <w:ilvl w:val="1"/>
          <w:numId w:val="12"/>
        </w:numPr>
      </w:pPr>
      <w:r>
        <w:t>Specific</w:t>
      </w:r>
      <w:r>
        <w:rPr>
          <w:spacing w:val="-12"/>
        </w:rPr>
        <w:t xml:space="preserve"> </w:t>
      </w:r>
      <w:r>
        <w:rPr>
          <w:spacing w:val="-2"/>
        </w:rPr>
        <w:t>articles</w:t>
      </w:r>
    </w:p>
    <w:p w14:paraId="0EBDB287" w14:textId="77777777" w:rsidR="00161C10" w:rsidRDefault="00CE2C8C">
      <w:pPr>
        <w:pStyle w:val="Heading3"/>
        <w:numPr>
          <w:ilvl w:val="2"/>
          <w:numId w:val="12"/>
        </w:numPr>
        <w:tabs>
          <w:tab w:val="left" w:pos="1136"/>
        </w:tabs>
        <w:spacing w:before="176"/>
        <w:ind w:left="1136" w:hanging="776"/>
      </w:pPr>
      <w:r>
        <w:t>Equality</w:t>
      </w:r>
      <w:r>
        <w:rPr>
          <w:spacing w:val="-7"/>
        </w:rPr>
        <w:t xml:space="preserve"> </w:t>
      </w:r>
      <w:r>
        <w:t>and</w:t>
      </w:r>
      <w:r>
        <w:rPr>
          <w:spacing w:val="-10"/>
        </w:rPr>
        <w:t xml:space="preserve"> </w:t>
      </w:r>
      <w:r>
        <w:t>non-discrimination</w:t>
      </w:r>
      <w:r>
        <w:rPr>
          <w:spacing w:val="-9"/>
        </w:rPr>
        <w:t xml:space="preserve"> </w:t>
      </w:r>
      <w:r>
        <w:t>(art.</w:t>
      </w:r>
      <w:r>
        <w:rPr>
          <w:spacing w:val="-8"/>
        </w:rPr>
        <w:t xml:space="preserve"> </w:t>
      </w:r>
      <w:r>
        <w:rPr>
          <w:spacing w:val="-5"/>
        </w:rPr>
        <w:t>5)</w:t>
      </w:r>
    </w:p>
    <w:p w14:paraId="1E7691B4" w14:textId="77777777" w:rsidR="00161C10" w:rsidRDefault="00CE2C8C">
      <w:pPr>
        <w:pStyle w:val="Heading4"/>
        <w:numPr>
          <w:ilvl w:val="3"/>
          <w:numId w:val="12"/>
        </w:numPr>
        <w:tabs>
          <w:tab w:val="left" w:pos="1073"/>
        </w:tabs>
        <w:spacing w:before="290"/>
        <w:ind w:hanging="355"/>
        <w:jc w:val="left"/>
      </w:pPr>
      <w:r>
        <w:t>Reply</w:t>
      </w:r>
      <w:r>
        <w:rPr>
          <w:spacing w:val="-2"/>
        </w:rPr>
        <w:t xml:space="preserve"> </w:t>
      </w:r>
      <w:r>
        <w:t>to</w:t>
      </w:r>
      <w:r>
        <w:rPr>
          <w:spacing w:val="-1"/>
        </w:rPr>
        <w:t xml:space="preserve"> </w:t>
      </w:r>
      <w:r>
        <w:t>the</w:t>
      </w:r>
      <w:r>
        <w:rPr>
          <w:spacing w:val="-2"/>
        </w:rPr>
        <w:t xml:space="preserve"> </w:t>
      </w:r>
      <w:r>
        <w:t>issues</w:t>
      </w:r>
      <w:r>
        <w:rPr>
          <w:spacing w:val="-1"/>
        </w:rPr>
        <w:t xml:space="preserve"> </w:t>
      </w:r>
      <w:r>
        <w:t>raised</w:t>
      </w:r>
      <w:r>
        <w:rPr>
          <w:spacing w:val="-5"/>
        </w:rPr>
        <w:t xml:space="preserve"> </w:t>
      </w:r>
      <w:r>
        <w:t>in</w:t>
      </w:r>
      <w:r>
        <w:rPr>
          <w:spacing w:val="-1"/>
        </w:rPr>
        <w:t xml:space="preserve"> </w:t>
      </w:r>
      <w:r>
        <w:t>paragraph</w:t>
      </w:r>
      <w:r>
        <w:rPr>
          <w:spacing w:val="-2"/>
        </w:rPr>
        <w:t xml:space="preserve"> </w:t>
      </w:r>
      <w:r>
        <w:t>6a</w:t>
      </w:r>
      <w:r>
        <w:rPr>
          <w:spacing w:val="-1"/>
        </w:rPr>
        <w:t xml:space="preserve"> </w:t>
      </w:r>
      <w:r>
        <w:t>of</w:t>
      </w:r>
      <w:r>
        <w:rPr>
          <w:spacing w:val="-2"/>
        </w:rPr>
        <w:t xml:space="preserve"> </w:t>
      </w:r>
      <w:r>
        <w:t>the</w:t>
      </w:r>
      <w:r>
        <w:rPr>
          <w:spacing w:val="-1"/>
        </w:rPr>
        <w:t xml:space="preserve"> </w:t>
      </w:r>
      <w:r>
        <w:t>list</w:t>
      </w:r>
      <w:r>
        <w:rPr>
          <w:spacing w:val="-1"/>
        </w:rPr>
        <w:t xml:space="preserve"> </w:t>
      </w:r>
      <w:r>
        <w:t>of</w:t>
      </w:r>
      <w:r>
        <w:rPr>
          <w:spacing w:val="-4"/>
        </w:rPr>
        <w:t xml:space="preserve"> </w:t>
      </w:r>
      <w:r>
        <w:rPr>
          <w:spacing w:val="-2"/>
        </w:rPr>
        <w:t>issues</w:t>
      </w:r>
    </w:p>
    <w:p w14:paraId="45C063C2" w14:textId="77777777" w:rsidR="00161C10" w:rsidRDefault="00CE2C8C">
      <w:pPr>
        <w:spacing w:before="159" w:line="276" w:lineRule="auto"/>
        <w:ind w:left="360" w:right="377"/>
        <w:rPr>
          <w:rFonts w:ascii="Arial" w:hAnsi="Arial"/>
          <w:i/>
          <w:sz w:val="24"/>
        </w:rPr>
      </w:pPr>
      <w:r>
        <w:rPr>
          <w:rFonts w:ascii="Arial" w:hAnsi="Arial"/>
          <w:i/>
          <w:sz w:val="24"/>
        </w:rPr>
        <w:t>The European Union states that it “proposed an equal treatment directive to extend the EU</w:t>
      </w:r>
      <w:r>
        <w:rPr>
          <w:rFonts w:ascii="Arial" w:hAnsi="Arial"/>
          <w:i/>
          <w:spacing w:val="52"/>
          <w:sz w:val="24"/>
        </w:rPr>
        <w:t xml:space="preserve"> </w:t>
      </w:r>
      <w:r>
        <w:rPr>
          <w:rFonts w:ascii="Arial" w:hAnsi="Arial"/>
          <w:i/>
          <w:sz w:val="24"/>
        </w:rPr>
        <w:t>anti-discrimination</w:t>
      </w:r>
      <w:r>
        <w:rPr>
          <w:rFonts w:ascii="Arial" w:hAnsi="Arial"/>
          <w:i/>
          <w:spacing w:val="52"/>
          <w:sz w:val="24"/>
        </w:rPr>
        <w:t xml:space="preserve"> </w:t>
      </w:r>
      <w:r>
        <w:rPr>
          <w:rFonts w:ascii="Arial" w:hAnsi="Arial"/>
          <w:i/>
          <w:sz w:val="24"/>
        </w:rPr>
        <w:t>legal</w:t>
      </w:r>
      <w:r>
        <w:rPr>
          <w:rFonts w:ascii="Arial" w:hAnsi="Arial"/>
          <w:i/>
          <w:spacing w:val="52"/>
          <w:sz w:val="24"/>
        </w:rPr>
        <w:t xml:space="preserve"> </w:t>
      </w:r>
      <w:r>
        <w:rPr>
          <w:rFonts w:ascii="Arial" w:hAnsi="Arial"/>
          <w:i/>
          <w:sz w:val="24"/>
        </w:rPr>
        <w:t>framework</w:t>
      </w:r>
      <w:r>
        <w:rPr>
          <w:rFonts w:ascii="Arial" w:hAnsi="Arial"/>
          <w:i/>
          <w:spacing w:val="53"/>
          <w:sz w:val="24"/>
        </w:rPr>
        <w:t xml:space="preserve"> </w:t>
      </w:r>
      <w:r>
        <w:rPr>
          <w:rFonts w:ascii="Arial" w:hAnsi="Arial"/>
          <w:i/>
          <w:sz w:val="24"/>
        </w:rPr>
        <w:t>and</w:t>
      </w:r>
      <w:r>
        <w:rPr>
          <w:rFonts w:ascii="Arial" w:hAnsi="Arial"/>
          <w:i/>
          <w:spacing w:val="51"/>
          <w:sz w:val="24"/>
        </w:rPr>
        <w:t xml:space="preserve"> </w:t>
      </w:r>
      <w:r>
        <w:rPr>
          <w:rFonts w:ascii="Arial" w:hAnsi="Arial"/>
          <w:i/>
          <w:sz w:val="24"/>
        </w:rPr>
        <w:t>ensure</w:t>
      </w:r>
      <w:r>
        <w:rPr>
          <w:rFonts w:ascii="Arial" w:hAnsi="Arial"/>
          <w:i/>
          <w:spacing w:val="54"/>
          <w:sz w:val="24"/>
        </w:rPr>
        <w:t xml:space="preserve"> </w:t>
      </w:r>
      <w:r>
        <w:rPr>
          <w:rFonts w:ascii="Arial" w:hAnsi="Arial"/>
          <w:i/>
          <w:sz w:val="24"/>
        </w:rPr>
        <w:t>equal</w:t>
      </w:r>
      <w:r>
        <w:rPr>
          <w:rFonts w:ascii="Arial" w:hAnsi="Arial"/>
          <w:i/>
          <w:spacing w:val="52"/>
          <w:sz w:val="24"/>
        </w:rPr>
        <w:t xml:space="preserve"> </w:t>
      </w:r>
      <w:r>
        <w:rPr>
          <w:rFonts w:ascii="Arial" w:hAnsi="Arial"/>
          <w:i/>
          <w:sz w:val="24"/>
        </w:rPr>
        <w:t>treatment</w:t>
      </w:r>
      <w:r>
        <w:rPr>
          <w:rFonts w:ascii="Arial" w:hAnsi="Arial"/>
          <w:i/>
          <w:spacing w:val="54"/>
          <w:sz w:val="24"/>
        </w:rPr>
        <w:t xml:space="preserve"> </w:t>
      </w:r>
      <w:r>
        <w:rPr>
          <w:rFonts w:ascii="Arial" w:hAnsi="Arial"/>
          <w:i/>
          <w:sz w:val="24"/>
        </w:rPr>
        <w:t>of</w:t>
      </w:r>
      <w:r>
        <w:rPr>
          <w:rFonts w:ascii="Arial" w:hAnsi="Arial"/>
          <w:i/>
          <w:spacing w:val="53"/>
          <w:sz w:val="24"/>
        </w:rPr>
        <w:t xml:space="preserve"> </w:t>
      </w:r>
      <w:r>
        <w:rPr>
          <w:rFonts w:ascii="Arial" w:hAnsi="Arial"/>
          <w:i/>
          <w:sz w:val="24"/>
        </w:rPr>
        <w:t>persons</w:t>
      </w:r>
      <w:r>
        <w:rPr>
          <w:rFonts w:ascii="Arial" w:hAnsi="Arial"/>
          <w:i/>
          <w:spacing w:val="54"/>
          <w:sz w:val="24"/>
        </w:rPr>
        <w:t xml:space="preserve"> </w:t>
      </w:r>
      <w:r>
        <w:rPr>
          <w:rFonts w:ascii="Arial" w:hAnsi="Arial"/>
          <w:i/>
          <w:spacing w:val="-4"/>
          <w:sz w:val="24"/>
        </w:rPr>
        <w:t>with</w:t>
      </w:r>
    </w:p>
    <w:p w14:paraId="00BFDA41" w14:textId="77777777" w:rsidR="00161C10" w:rsidRDefault="00161C10">
      <w:pPr>
        <w:spacing w:line="276" w:lineRule="auto"/>
        <w:rPr>
          <w:rFonts w:ascii="Arial" w:hAnsi="Arial"/>
          <w:i/>
          <w:sz w:val="24"/>
        </w:rPr>
        <w:sectPr w:rsidR="00161C10">
          <w:pgSz w:w="12240" w:h="15840"/>
          <w:pgMar w:top="1360" w:right="1080" w:bottom="1540" w:left="1080" w:header="0" w:footer="1274" w:gutter="0"/>
          <w:cols w:space="720"/>
        </w:sectPr>
      </w:pPr>
    </w:p>
    <w:p w14:paraId="5B249BBF" w14:textId="77777777" w:rsidR="00161C10" w:rsidRDefault="00CE2C8C">
      <w:pPr>
        <w:spacing w:before="81" w:line="276" w:lineRule="auto"/>
        <w:ind w:left="360" w:right="362"/>
        <w:jc w:val="both"/>
        <w:rPr>
          <w:rFonts w:ascii="Arial" w:hAnsi="Arial"/>
          <w:i/>
          <w:sz w:val="24"/>
        </w:rPr>
      </w:pPr>
      <w:r>
        <w:rPr>
          <w:rFonts w:ascii="Arial" w:hAnsi="Arial"/>
          <w:i/>
          <w:sz w:val="24"/>
        </w:rPr>
        <w:lastRenderedPageBreak/>
        <w:t xml:space="preserve">disabilities in the areas outside the field of employment (social protection, healthcare, education, and access to goods and services, including </w:t>
      </w:r>
      <w:proofErr w:type="gramStart"/>
      <w:r>
        <w:rPr>
          <w:rFonts w:ascii="Arial" w:hAnsi="Arial"/>
          <w:i/>
          <w:sz w:val="24"/>
        </w:rPr>
        <w:t>housing)...</w:t>
      </w:r>
      <w:proofErr w:type="gramEnd"/>
      <w:r>
        <w:rPr>
          <w:rFonts w:ascii="Arial" w:hAnsi="Arial"/>
          <w:i/>
          <w:sz w:val="24"/>
        </w:rPr>
        <w:t>. No agreement has been reached yet.”</w:t>
      </w:r>
    </w:p>
    <w:p w14:paraId="2677C7B4" w14:textId="77777777" w:rsidR="00161C10" w:rsidRDefault="00CE2C8C">
      <w:pPr>
        <w:pStyle w:val="BodyText"/>
        <w:spacing w:before="120" w:line="276" w:lineRule="auto"/>
        <w:ind w:left="360" w:right="352"/>
        <w:jc w:val="both"/>
      </w:pPr>
      <w:r>
        <w:t>ENIL</w:t>
      </w:r>
      <w:r>
        <w:rPr>
          <w:spacing w:val="-9"/>
        </w:rPr>
        <w:t xml:space="preserve"> </w:t>
      </w:r>
      <w:r>
        <w:t>is</w:t>
      </w:r>
      <w:r>
        <w:rPr>
          <w:spacing w:val="-11"/>
        </w:rPr>
        <w:t xml:space="preserve"> </w:t>
      </w:r>
      <w:r>
        <w:t>extremely</w:t>
      </w:r>
      <w:r>
        <w:rPr>
          <w:spacing w:val="-11"/>
        </w:rPr>
        <w:t xml:space="preserve"> </w:t>
      </w:r>
      <w:r>
        <w:t>concerned</w:t>
      </w:r>
      <w:r>
        <w:rPr>
          <w:spacing w:val="-12"/>
        </w:rPr>
        <w:t xml:space="preserve"> </w:t>
      </w:r>
      <w:r>
        <w:t>about</w:t>
      </w:r>
      <w:r>
        <w:rPr>
          <w:spacing w:val="-10"/>
        </w:rPr>
        <w:t xml:space="preserve"> </w:t>
      </w:r>
      <w:r>
        <w:t>the</w:t>
      </w:r>
      <w:r>
        <w:rPr>
          <w:spacing w:val="-12"/>
        </w:rPr>
        <w:t xml:space="preserve"> </w:t>
      </w:r>
      <w:r>
        <w:t>EU’s</w:t>
      </w:r>
      <w:r>
        <w:rPr>
          <w:spacing w:val="-10"/>
        </w:rPr>
        <w:t xml:space="preserve"> </w:t>
      </w:r>
      <w:r>
        <w:t>failure</w:t>
      </w:r>
      <w:r>
        <w:rPr>
          <w:spacing w:val="-10"/>
        </w:rPr>
        <w:t xml:space="preserve"> </w:t>
      </w:r>
      <w:r>
        <w:t>to</w:t>
      </w:r>
      <w:r>
        <w:rPr>
          <w:spacing w:val="-11"/>
        </w:rPr>
        <w:t xml:space="preserve"> </w:t>
      </w:r>
      <w:r>
        <w:t>adopt</w:t>
      </w:r>
      <w:r>
        <w:rPr>
          <w:spacing w:val="-10"/>
        </w:rPr>
        <w:t xml:space="preserve"> </w:t>
      </w:r>
      <w:r>
        <w:t>this</w:t>
      </w:r>
      <w:r>
        <w:rPr>
          <w:spacing w:val="-11"/>
        </w:rPr>
        <w:t xml:space="preserve"> </w:t>
      </w:r>
      <w:r>
        <w:t>directive,</w:t>
      </w:r>
      <w:r>
        <w:rPr>
          <w:spacing w:val="-10"/>
        </w:rPr>
        <w:t xml:space="preserve"> </w:t>
      </w:r>
      <w:r>
        <w:t>which</w:t>
      </w:r>
      <w:r>
        <w:rPr>
          <w:spacing w:val="-9"/>
        </w:rPr>
        <w:t xml:space="preserve"> </w:t>
      </w:r>
      <w:r>
        <w:t>was</w:t>
      </w:r>
      <w:r>
        <w:rPr>
          <w:spacing w:val="-4"/>
        </w:rPr>
        <w:t xml:space="preserve"> </w:t>
      </w:r>
      <w:hyperlink r:id="rId47">
        <w:r>
          <w:rPr>
            <w:color w:val="1154CC"/>
            <w:u w:val="single" w:color="1154CC"/>
          </w:rPr>
          <w:t>first</w:t>
        </w:r>
      </w:hyperlink>
      <w:r>
        <w:rPr>
          <w:color w:val="1154CC"/>
        </w:rPr>
        <w:t xml:space="preserve"> </w:t>
      </w:r>
      <w:hyperlink r:id="rId48">
        <w:r>
          <w:rPr>
            <w:color w:val="1154CC"/>
            <w:u w:val="single" w:color="1154CC"/>
          </w:rPr>
          <w:t>proposed in 2008</w:t>
        </w:r>
      </w:hyperlink>
      <w:r>
        <w:t>. Evidence from the Concluding Observations in respect of all EU countries shows that extensive discrimination is taking place within the EU. While we understand</w:t>
      </w:r>
      <w:r>
        <w:rPr>
          <w:spacing w:val="-6"/>
        </w:rPr>
        <w:t xml:space="preserve"> </w:t>
      </w:r>
      <w:r>
        <w:t>agreement</w:t>
      </w:r>
      <w:r>
        <w:rPr>
          <w:spacing w:val="-9"/>
        </w:rPr>
        <w:t xml:space="preserve"> </w:t>
      </w:r>
      <w:r>
        <w:t>is</w:t>
      </w:r>
      <w:r>
        <w:rPr>
          <w:spacing w:val="-7"/>
        </w:rPr>
        <w:t xml:space="preserve"> </w:t>
      </w:r>
      <w:r>
        <w:t>needed</w:t>
      </w:r>
      <w:r>
        <w:rPr>
          <w:spacing w:val="-8"/>
        </w:rPr>
        <w:t xml:space="preserve"> </w:t>
      </w:r>
      <w:r>
        <w:t>from</w:t>
      </w:r>
      <w:r>
        <w:rPr>
          <w:spacing w:val="-8"/>
        </w:rPr>
        <w:t xml:space="preserve"> </w:t>
      </w:r>
      <w:r>
        <w:t>all</w:t>
      </w:r>
      <w:r>
        <w:rPr>
          <w:spacing w:val="-8"/>
        </w:rPr>
        <w:t xml:space="preserve"> </w:t>
      </w:r>
      <w:r>
        <w:t>Member</w:t>
      </w:r>
      <w:r>
        <w:rPr>
          <w:spacing w:val="-10"/>
        </w:rPr>
        <w:t xml:space="preserve"> </w:t>
      </w:r>
      <w:r>
        <w:t>States</w:t>
      </w:r>
      <w:r>
        <w:rPr>
          <w:spacing w:val="-7"/>
        </w:rPr>
        <w:t xml:space="preserve"> </w:t>
      </w:r>
      <w:r>
        <w:t>for</w:t>
      </w:r>
      <w:r>
        <w:rPr>
          <w:spacing w:val="-7"/>
        </w:rPr>
        <w:t xml:space="preserve"> </w:t>
      </w:r>
      <w:r>
        <w:t>the</w:t>
      </w:r>
      <w:r>
        <w:rPr>
          <w:spacing w:val="-6"/>
        </w:rPr>
        <w:t xml:space="preserve"> </w:t>
      </w:r>
      <w:r>
        <w:t>Directive</w:t>
      </w:r>
      <w:r>
        <w:rPr>
          <w:spacing w:val="-6"/>
        </w:rPr>
        <w:t xml:space="preserve"> </w:t>
      </w:r>
      <w:r>
        <w:t>to</w:t>
      </w:r>
      <w:r>
        <w:rPr>
          <w:spacing w:val="-8"/>
        </w:rPr>
        <w:t xml:space="preserve"> </w:t>
      </w:r>
      <w:r>
        <w:t>be</w:t>
      </w:r>
      <w:r>
        <w:rPr>
          <w:spacing w:val="-8"/>
        </w:rPr>
        <w:t xml:space="preserve"> </w:t>
      </w:r>
      <w:r>
        <w:t>adopted, we have concerns that the provisions in the current proposal are below the necessary minimum</w:t>
      </w:r>
      <w:r>
        <w:rPr>
          <w:spacing w:val="-6"/>
        </w:rPr>
        <w:t xml:space="preserve"> </w:t>
      </w:r>
      <w:r>
        <w:t>to</w:t>
      </w:r>
      <w:r>
        <w:rPr>
          <w:spacing w:val="-6"/>
        </w:rPr>
        <w:t xml:space="preserve"> </w:t>
      </w:r>
      <w:r>
        <w:t>effectively</w:t>
      </w:r>
      <w:r>
        <w:rPr>
          <w:spacing w:val="-8"/>
        </w:rPr>
        <w:t xml:space="preserve"> </w:t>
      </w:r>
      <w:r>
        <w:t>protect</w:t>
      </w:r>
      <w:r>
        <w:rPr>
          <w:spacing w:val="-7"/>
        </w:rPr>
        <w:t xml:space="preserve"> </w:t>
      </w:r>
      <w:r>
        <w:t>disabled</w:t>
      </w:r>
      <w:r>
        <w:rPr>
          <w:spacing w:val="-6"/>
        </w:rPr>
        <w:t xml:space="preserve"> </w:t>
      </w:r>
      <w:r>
        <w:t>people</w:t>
      </w:r>
      <w:r>
        <w:rPr>
          <w:spacing w:val="-5"/>
        </w:rPr>
        <w:t xml:space="preserve"> </w:t>
      </w:r>
      <w:r>
        <w:t>from</w:t>
      </w:r>
      <w:r>
        <w:rPr>
          <w:spacing w:val="-6"/>
        </w:rPr>
        <w:t xml:space="preserve"> </w:t>
      </w:r>
      <w:r>
        <w:t>discrimination.</w:t>
      </w:r>
      <w:r>
        <w:rPr>
          <w:spacing w:val="-10"/>
        </w:rPr>
        <w:t xml:space="preserve"> </w:t>
      </w:r>
      <w:r>
        <w:t>The</w:t>
      </w:r>
      <w:r>
        <w:rPr>
          <w:spacing w:val="-5"/>
        </w:rPr>
        <w:t xml:space="preserve"> </w:t>
      </w:r>
      <w:r>
        <w:t>consultation</w:t>
      </w:r>
      <w:r>
        <w:rPr>
          <w:spacing w:val="-7"/>
        </w:rPr>
        <w:t xml:space="preserve"> </w:t>
      </w:r>
      <w:r>
        <w:t>with civil</w:t>
      </w:r>
      <w:r>
        <w:rPr>
          <w:spacing w:val="-12"/>
        </w:rPr>
        <w:t xml:space="preserve"> </w:t>
      </w:r>
      <w:r>
        <w:t>society</w:t>
      </w:r>
      <w:r>
        <w:rPr>
          <w:spacing w:val="-11"/>
        </w:rPr>
        <w:t xml:space="preserve"> </w:t>
      </w:r>
      <w:proofErr w:type="spellStart"/>
      <w:r>
        <w:t>organisations</w:t>
      </w:r>
      <w:proofErr w:type="spellEnd"/>
      <w:r>
        <w:t>,</w:t>
      </w:r>
      <w:r>
        <w:rPr>
          <w:spacing w:val="-11"/>
        </w:rPr>
        <w:t xml:space="preserve"> </w:t>
      </w:r>
      <w:r>
        <w:t>including</w:t>
      </w:r>
      <w:r>
        <w:rPr>
          <w:spacing w:val="-10"/>
        </w:rPr>
        <w:t xml:space="preserve"> </w:t>
      </w:r>
      <w:r>
        <w:t>DPOs,</w:t>
      </w:r>
      <w:r>
        <w:rPr>
          <w:spacing w:val="-11"/>
        </w:rPr>
        <w:t xml:space="preserve"> </w:t>
      </w:r>
      <w:r>
        <w:t>is</w:t>
      </w:r>
      <w:r>
        <w:rPr>
          <w:spacing w:val="-14"/>
        </w:rPr>
        <w:t xml:space="preserve"> </w:t>
      </w:r>
      <w:r>
        <w:t>also</w:t>
      </w:r>
      <w:r>
        <w:rPr>
          <w:spacing w:val="-11"/>
        </w:rPr>
        <w:t xml:space="preserve"> </w:t>
      </w:r>
      <w:r>
        <w:t>missing,</w:t>
      </w:r>
      <w:r>
        <w:rPr>
          <w:spacing w:val="-11"/>
        </w:rPr>
        <w:t xml:space="preserve"> </w:t>
      </w:r>
      <w:r>
        <w:t>putting</w:t>
      </w:r>
      <w:r>
        <w:rPr>
          <w:spacing w:val="-10"/>
        </w:rPr>
        <w:t xml:space="preserve"> </w:t>
      </w:r>
      <w:r>
        <w:t>into</w:t>
      </w:r>
      <w:r>
        <w:rPr>
          <w:spacing w:val="-10"/>
        </w:rPr>
        <w:t xml:space="preserve"> </w:t>
      </w:r>
      <w:r>
        <w:t>question</w:t>
      </w:r>
      <w:r>
        <w:rPr>
          <w:spacing w:val="-4"/>
        </w:rPr>
        <w:t xml:space="preserve"> </w:t>
      </w:r>
      <w:r>
        <w:t>the</w:t>
      </w:r>
      <w:r>
        <w:rPr>
          <w:spacing w:val="-10"/>
        </w:rPr>
        <w:t xml:space="preserve"> </w:t>
      </w:r>
      <w:r>
        <w:t>EU’s commitment to ensure meaningful involvement of disabled people.</w:t>
      </w:r>
    </w:p>
    <w:p w14:paraId="5C35171C" w14:textId="77777777" w:rsidR="00161C10" w:rsidRDefault="00CE2C8C">
      <w:pPr>
        <w:spacing w:before="121"/>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7BC47B63" w14:textId="77777777" w:rsidR="00161C10" w:rsidRDefault="00CE2C8C">
      <w:pPr>
        <w:pStyle w:val="BodyText"/>
        <w:rPr>
          <w:rFonts w:ascii="Arial"/>
          <w:b/>
          <w:i/>
          <w:sz w:val="12"/>
        </w:rPr>
      </w:pPr>
      <w:r>
        <w:rPr>
          <w:rFonts w:ascii="Arial"/>
          <w:b/>
          <w:i/>
          <w:noProof/>
          <w:sz w:val="12"/>
        </w:rPr>
        <mc:AlternateContent>
          <mc:Choice Requires="wps">
            <w:drawing>
              <wp:anchor distT="0" distB="0" distL="0" distR="0" simplePos="0" relativeHeight="487593472" behindDoc="1" locked="0" layoutInCell="1" allowOverlap="1" wp14:anchorId="359F9032" wp14:editId="456BAE60">
                <wp:simplePos x="0" y="0"/>
                <wp:positionH relativeFrom="page">
                  <wp:posOffset>843076</wp:posOffset>
                </wp:positionH>
                <wp:positionV relativeFrom="paragraph">
                  <wp:posOffset>106629</wp:posOffset>
                </wp:positionV>
                <wp:extent cx="6088380" cy="1036319"/>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1036319"/>
                        </a:xfrm>
                        <a:prstGeom prst="rect">
                          <a:avLst/>
                        </a:prstGeom>
                        <a:ln w="6095">
                          <a:solidFill>
                            <a:srgbClr val="000000"/>
                          </a:solidFill>
                          <a:prstDash val="solid"/>
                        </a:ln>
                      </wps:spPr>
                      <wps:txbx>
                        <w:txbxContent>
                          <w:p w14:paraId="6DA52B3C" w14:textId="77777777" w:rsidR="00161C10" w:rsidRDefault="00CE2C8C">
                            <w:pPr>
                              <w:spacing w:before="19" w:line="276" w:lineRule="auto"/>
                              <w:ind w:left="108" w:right="108"/>
                              <w:jc w:val="both"/>
                              <w:rPr>
                                <w:rFonts w:ascii="Arial"/>
                                <w:b/>
                                <w:sz w:val="24"/>
                              </w:rPr>
                            </w:pPr>
                            <w:r>
                              <w:rPr>
                                <w:rFonts w:ascii="Arial"/>
                                <w:b/>
                                <w:sz w:val="24"/>
                              </w:rPr>
                              <w:t>The Committee recommends that</w:t>
                            </w:r>
                            <w:r>
                              <w:rPr>
                                <w:rFonts w:ascii="Arial"/>
                                <w:b/>
                                <w:spacing w:val="-2"/>
                                <w:sz w:val="24"/>
                              </w:rPr>
                              <w:t xml:space="preserve"> </w:t>
                            </w:r>
                            <w:r>
                              <w:rPr>
                                <w:rFonts w:ascii="Arial"/>
                                <w:b/>
                                <w:sz w:val="24"/>
                              </w:rPr>
                              <w:t>the EU adopts without</w:t>
                            </w:r>
                            <w:r>
                              <w:rPr>
                                <w:rFonts w:ascii="Arial"/>
                                <w:b/>
                                <w:spacing w:val="-2"/>
                                <w:sz w:val="24"/>
                              </w:rPr>
                              <w:t xml:space="preserve"> </w:t>
                            </w:r>
                            <w:r>
                              <w:rPr>
                                <w:rFonts w:ascii="Arial"/>
                                <w:b/>
                                <w:sz w:val="24"/>
                              </w:rPr>
                              <w:t>delay</w:t>
                            </w:r>
                            <w:r>
                              <w:rPr>
                                <w:rFonts w:ascii="Arial"/>
                                <w:b/>
                                <w:spacing w:val="-2"/>
                                <w:sz w:val="24"/>
                              </w:rPr>
                              <w:t xml:space="preserve"> </w:t>
                            </w:r>
                            <w:r>
                              <w:rPr>
                                <w:rFonts w:ascii="Arial"/>
                                <w:b/>
                                <w:sz w:val="24"/>
                              </w:rPr>
                              <w:t>an</w:t>
                            </w:r>
                            <w:r>
                              <w:rPr>
                                <w:rFonts w:ascii="Arial"/>
                                <w:b/>
                                <w:spacing w:val="-1"/>
                                <w:sz w:val="24"/>
                              </w:rPr>
                              <w:t xml:space="preserve"> </w:t>
                            </w:r>
                            <w:r>
                              <w:rPr>
                                <w:rFonts w:ascii="Arial"/>
                                <w:b/>
                                <w:sz w:val="24"/>
                              </w:rPr>
                              <w:t>ambitious equal treatment</w:t>
                            </w:r>
                            <w:r>
                              <w:rPr>
                                <w:rFonts w:ascii="Arial"/>
                                <w:b/>
                                <w:spacing w:val="-9"/>
                                <w:sz w:val="24"/>
                              </w:rPr>
                              <w:t xml:space="preserve"> </w:t>
                            </w:r>
                            <w:r>
                              <w:rPr>
                                <w:rFonts w:ascii="Arial"/>
                                <w:b/>
                                <w:sz w:val="24"/>
                              </w:rPr>
                              <w:t>directive,</w:t>
                            </w:r>
                            <w:r>
                              <w:rPr>
                                <w:rFonts w:ascii="Arial"/>
                                <w:b/>
                                <w:spacing w:val="-11"/>
                                <w:sz w:val="24"/>
                              </w:rPr>
                              <w:t xml:space="preserve"> </w:t>
                            </w:r>
                            <w:r>
                              <w:rPr>
                                <w:rFonts w:ascii="Arial"/>
                                <w:b/>
                                <w:sz w:val="24"/>
                              </w:rPr>
                              <w:t>to</w:t>
                            </w:r>
                            <w:r>
                              <w:rPr>
                                <w:rFonts w:ascii="Arial"/>
                                <w:b/>
                                <w:spacing w:val="-10"/>
                                <w:sz w:val="24"/>
                              </w:rPr>
                              <w:t xml:space="preserve"> </w:t>
                            </w:r>
                            <w:r>
                              <w:rPr>
                                <w:rFonts w:ascii="Arial"/>
                                <w:b/>
                                <w:sz w:val="24"/>
                              </w:rPr>
                              <w:t>effectively</w:t>
                            </w:r>
                            <w:r>
                              <w:rPr>
                                <w:rFonts w:ascii="Arial"/>
                                <w:b/>
                                <w:spacing w:val="-8"/>
                                <w:sz w:val="24"/>
                              </w:rPr>
                              <w:t xml:space="preserve"> </w:t>
                            </w:r>
                            <w:r>
                              <w:rPr>
                                <w:rFonts w:ascii="Arial"/>
                                <w:b/>
                                <w:sz w:val="24"/>
                              </w:rPr>
                              <w:t>protect</w:t>
                            </w:r>
                            <w:r>
                              <w:rPr>
                                <w:rFonts w:ascii="Arial"/>
                                <w:b/>
                                <w:spacing w:val="-12"/>
                                <w:sz w:val="24"/>
                              </w:rPr>
                              <w:t xml:space="preserve"> </w:t>
                            </w:r>
                            <w:r>
                              <w:rPr>
                                <w:rFonts w:ascii="Arial"/>
                                <w:b/>
                                <w:sz w:val="24"/>
                              </w:rPr>
                              <w:t>disabled</w:t>
                            </w:r>
                            <w:r>
                              <w:rPr>
                                <w:rFonts w:ascii="Arial"/>
                                <w:b/>
                                <w:spacing w:val="-9"/>
                                <w:sz w:val="24"/>
                              </w:rPr>
                              <w:t xml:space="preserve"> </w:t>
                            </w:r>
                            <w:r>
                              <w:rPr>
                                <w:rFonts w:ascii="Arial"/>
                                <w:b/>
                                <w:sz w:val="24"/>
                              </w:rPr>
                              <w:t>people</w:t>
                            </w:r>
                            <w:r>
                              <w:rPr>
                                <w:rFonts w:ascii="Arial"/>
                                <w:b/>
                                <w:spacing w:val="-10"/>
                                <w:sz w:val="24"/>
                              </w:rPr>
                              <w:t xml:space="preserve"> </w:t>
                            </w:r>
                            <w:r>
                              <w:rPr>
                                <w:rFonts w:ascii="Arial"/>
                                <w:b/>
                                <w:sz w:val="24"/>
                              </w:rPr>
                              <w:t>against</w:t>
                            </w:r>
                            <w:r>
                              <w:rPr>
                                <w:rFonts w:ascii="Arial"/>
                                <w:b/>
                                <w:spacing w:val="-9"/>
                                <w:sz w:val="24"/>
                              </w:rPr>
                              <w:t xml:space="preserve"> </w:t>
                            </w:r>
                            <w:r>
                              <w:rPr>
                                <w:rFonts w:ascii="Arial"/>
                                <w:b/>
                                <w:sz w:val="24"/>
                              </w:rPr>
                              <w:t>discrimination</w:t>
                            </w:r>
                            <w:r>
                              <w:rPr>
                                <w:rFonts w:ascii="Arial"/>
                                <w:b/>
                                <w:spacing w:val="-9"/>
                                <w:sz w:val="24"/>
                              </w:rPr>
                              <w:t xml:space="preserve"> </w:t>
                            </w:r>
                            <w:r>
                              <w:rPr>
                                <w:rFonts w:ascii="Arial"/>
                                <w:b/>
                                <w:sz w:val="24"/>
                              </w:rPr>
                              <w:t>in the areas outside the field of employment, including their right to live independently in the community, regardless of their impairment or degree of support needed.</w:t>
                            </w:r>
                          </w:p>
                        </w:txbxContent>
                      </wps:txbx>
                      <wps:bodyPr wrap="square" lIns="0" tIns="0" rIns="0" bIns="0" rtlCol="0">
                        <a:noAutofit/>
                      </wps:bodyPr>
                    </wps:wsp>
                  </a:graphicData>
                </a:graphic>
              </wp:anchor>
            </w:drawing>
          </mc:Choice>
          <mc:Fallback>
            <w:pict>
              <v:shape w14:anchorId="359F9032" id="Textbox 18" o:spid="_x0000_s1037" type="#_x0000_t202" style="position:absolute;margin-left:66.4pt;margin-top:8.4pt;width:479.4pt;height:81.6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" filled="f" strokeweight=".16931mm">
                <v:path arrowok="t"/>
                <v:textbox inset="0,0,0,0">
                  <w:txbxContent>
                    <w:p w14:paraId="6DA52B3C" w14:textId="77777777" w:rsidR="00161C10" w:rsidRDefault="00CE2C8C">
                      <w:pPr>
                        <w:spacing w:before="19" w:line="276" w:lineRule="auto"/>
                        <w:ind w:left="108" w:right="108"/>
                        <w:jc w:val="both"/>
                        <w:rPr>
                          <w:rFonts w:ascii="Arial"/>
                          <w:b/>
                          <w:sz w:val="24"/>
                        </w:rPr>
                      </w:pPr>
                      <w:r>
                        <w:rPr>
                          <w:rFonts w:ascii="Arial"/>
                          <w:b/>
                          <w:sz w:val="24"/>
                        </w:rPr>
                        <w:t>The Committee recommends that</w:t>
                      </w:r>
                      <w:r>
                        <w:rPr>
                          <w:rFonts w:ascii="Arial"/>
                          <w:b/>
                          <w:spacing w:val="-2"/>
                          <w:sz w:val="24"/>
                        </w:rPr>
                        <w:t xml:space="preserve"> </w:t>
                      </w:r>
                      <w:r>
                        <w:rPr>
                          <w:rFonts w:ascii="Arial"/>
                          <w:b/>
                          <w:sz w:val="24"/>
                        </w:rPr>
                        <w:t>the EU adopts without</w:t>
                      </w:r>
                      <w:r>
                        <w:rPr>
                          <w:rFonts w:ascii="Arial"/>
                          <w:b/>
                          <w:spacing w:val="-2"/>
                          <w:sz w:val="24"/>
                        </w:rPr>
                        <w:t xml:space="preserve"> </w:t>
                      </w:r>
                      <w:r>
                        <w:rPr>
                          <w:rFonts w:ascii="Arial"/>
                          <w:b/>
                          <w:sz w:val="24"/>
                        </w:rPr>
                        <w:t>delay</w:t>
                      </w:r>
                      <w:r>
                        <w:rPr>
                          <w:rFonts w:ascii="Arial"/>
                          <w:b/>
                          <w:spacing w:val="-2"/>
                          <w:sz w:val="24"/>
                        </w:rPr>
                        <w:t xml:space="preserve"> </w:t>
                      </w:r>
                      <w:r>
                        <w:rPr>
                          <w:rFonts w:ascii="Arial"/>
                          <w:b/>
                          <w:sz w:val="24"/>
                        </w:rPr>
                        <w:t>an</w:t>
                      </w:r>
                      <w:r>
                        <w:rPr>
                          <w:rFonts w:ascii="Arial"/>
                          <w:b/>
                          <w:spacing w:val="-1"/>
                          <w:sz w:val="24"/>
                        </w:rPr>
                        <w:t xml:space="preserve"> </w:t>
                      </w:r>
                      <w:r>
                        <w:rPr>
                          <w:rFonts w:ascii="Arial"/>
                          <w:b/>
                          <w:sz w:val="24"/>
                        </w:rPr>
                        <w:t>ambitious equal treatment</w:t>
                      </w:r>
                      <w:r>
                        <w:rPr>
                          <w:rFonts w:ascii="Arial"/>
                          <w:b/>
                          <w:spacing w:val="-9"/>
                          <w:sz w:val="24"/>
                        </w:rPr>
                        <w:t xml:space="preserve"> </w:t>
                      </w:r>
                      <w:r>
                        <w:rPr>
                          <w:rFonts w:ascii="Arial"/>
                          <w:b/>
                          <w:sz w:val="24"/>
                        </w:rPr>
                        <w:t>directive,</w:t>
                      </w:r>
                      <w:r>
                        <w:rPr>
                          <w:rFonts w:ascii="Arial"/>
                          <w:b/>
                          <w:spacing w:val="-11"/>
                          <w:sz w:val="24"/>
                        </w:rPr>
                        <w:t xml:space="preserve"> </w:t>
                      </w:r>
                      <w:r>
                        <w:rPr>
                          <w:rFonts w:ascii="Arial"/>
                          <w:b/>
                          <w:sz w:val="24"/>
                        </w:rPr>
                        <w:t>to</w:t>
                      </w:r>
                      <w:r>
                        <w:rPr>
                          <w:rFonts w:ascii="Arial"/>
                          <w:b/>
                          <w:spacing w:val="-10"/>
                          <w:sz w:val="24"/>
                        </w:rPr>
                        <w:t xml:space="preserve"> </w:t>
                      </w:r>
                      <w:r>
                        <w:rPr>
                          <w:rFonts w:ascii="Arial"/>
                          <w:b/>
                          <w:sz w:val="24"/>
                        </w:rPr>
                        <w:t>effectively</w:t>
                      </w:r>
                      <w:r>
                        <w:rPr>
                          <w:rFonts w:ascii="Arial"/>
                          <w:b/>
                          <w:spacing w:val="-8"/>
                          <w:sz w:val="24"/>
                        </w:rPr>
                        <w:t xml:space="preserve"> </w:t>
                      </w:r>
                      <w:r>
                        <w:rPr>
                          <w:rFonts w:ascii="Arial"/>
                          <w:b/>
                          <w:sz w:val="24"/>
                        </w:rPr>
                        <w:t>protect</w:t>
                      </w:r>
                      <w:r>
                        <w:rPr>
                          <w:rFonts w:ascii="Arial"/>
                          <w:b/>
                          <w:spacing w:val="-12"/>
                          <w:sz w:val="24"/>
                        </w:rPr>
                        <w:t xml:space="preserve"> </w:t>
                      </w:r>
                      <w:r>
                        <w:rPr>
                          <w:rFonts w:ascii="Arial"/>
                          <w:b/>
                          <w:sz w:val="24"/>
                        </w:rPr>
                        <w:t>disabled</w:t>
                      </w:r>
                      <w:r>
                        <w:rPr>
                          <w:rFonts w:ascii="Arial"/>
                          <w:b/>
                          <w:spacing w:val="-9"/>
                          <w:sz w:val="24"/>
                        </w:rPr>
                        <w:t xml:space="preserve"> </w:t>
                      </w:r>
                      <w:r>
                        <w:rPr>
                          <w:rFonts w:ascii="Arial"/>
                          <w:b/>
                          <w:sz w:val="24"/>
                        </w:rPr>
                        <w:t>people</w:t>
                      </w:r>
                      <w:r>
                        <w:rPr>
                          <w:rFonts w:ascii="Arial"/>
                          <w:b/>
                          <w:spacing w:val="-10"/>
                          <w:sz w:val="24"/>
                        </w:rPr>
                        <w:t xml:space="preserve"> </w:t>
                      </w:r>
                      <w:r>
                        <w:rPr>
                          <w:rFonts w:ascii="Arial"/>
                          <w:b/>
                          <w:sz w:val="24"/>
                        </w:rPr>
                        <w:t>against</w:t>
                      </w:r>
                      <w:r>
                        <w:rPr>
                          <w:rFonts w:ascii="Arial"/>
                          <w:b/>
                          <w:spacing w:val="-9"/>
                          <w:sz w:val="24"/>
                        </w:rPr>
                        <w:t xml:space="preserve"> </w:t>
                      </w:r>
                      <w:r>
                        <w:rPr>
                          <w:rFonts w:ascii="Arial"/>
                          <w:b/>
                          <w:sz w:val="24"/>
                        </w:rPr>
                        <w:t>discrimination</w:t>
                      </w:r>
                      <w:r>
                        <w:rPr>
                          <w:rFonts w:ascii="Arial"/>
                          <w:b/>
                          <w:spacing w:val="-9"/>
                          <w:sz w:val="24"/>
                        </w:rPr>
                        <w:t xml:space="preserve"> </w:t>
                      </w:r>
                      <w:r>
                        <w:rPr>
                          <w:rFonts w:ascii="Arial"/>
                          <w:b/>
                          <w:sz w:val="24"/>
                        </w:rPr>
                        <w:t>in the areas outside the field of employment, including their right to live independently in the community, regardless of their impairment or degree of support needed.</w:t>
                      </w:r>
                    </w:p>
                  </w:txbxContent>
                </v:textbox>
                <w10:wrap type="topAndBottom" anchorx="page"/>
              </v:shape>
            </w:pict>
          </mc:Fallback>
        </mc:AlternateContent>
      </w:r>
    </w:p>
    <w:p w14:paraId="3BBE8C96" w14:textId="77777777" w:rsidR="00161C10" w:rsidRDefault="00CE2C8C">
      <w:pPr>
        <w:pStyle w:val="Heading3"/>
        <w:numPr>
          <w:ilvl w:val="2"/>
          <w:numId w:val="12"/>
        </w:numPr>
        <w:tabs>
          <w:tab w:val="left" w:pos="1136"/>
        </w:tabs>
        <w:ind w:left="1136" w:hanging="776"/>
      </w:pPr>
      <w:r>
        <w:t>Right</w:t>
      </w:r>
      <w:r>
        <w:rPr>
          <w:spacing w:val="-4"/>
        </w:rPr>
        <w:t xml:space="preserve"> </w:t>
      </w:r>
      <w:r>
        <w:t>to</w:t>
      </w:r>
      <w:r>
        <w:rPr>
          <w:spacing w:val="-3"/>
        </w:rPr>
        <w:t xml:space="preserve"> </w:t>
      </w:r>
      <w:r>
        <w:t>life</w:t>
      </w:r>
      <w:r>
        <w:rPr>
          <w:spacing w:val="-4"/>
        </w:rPr>
        <w:t xml:space="preserve"> </w:t>
      </w:r>
      <w:r>
        <w:t>(art.</w:t>
      </w:r>
      <w:r>
        <w:rPr>
          <w:spacing w:val="-4"/>
        </w:rPr>
        <w:t xml:space="preserve"> </w:t>
      </w:r>
      <w:r>
        <w:rPr>
          <w:spacing w:val="-5"/>
        </w:rPr>
        <w:t>10)</w:t>
      </w:r>
    </w:p>
    <w:p w14:paraId="182427A4" w14:textId="77777777" w:rsidR="00161C10" w:rsidRDefault="00CE2C8C">
      <w:pPr>
        <w:pStyle w:val="Heading4"/>
        <w:numPr>
          <w:ilvl w:val="3"/>
          <w:numId w:val="12"/>
        </w:numPr>
        <w:tabs>
          <w:tab w:val="left" w:pos="1073"/>
        </w:tabs>
        <w:spacing w:before="290"/>
        <w:ind w:hanging="355"/>
        <w:jc w:val="left"/>
      </w:pPr>
      <w:r>
        <w:t>Reply</w:t>
      </w:r>
      <w:r>
        <w:rPr>
          <w:spacing w:val="-2"/>
        </w:rPr>
        <w:t xml:space="preserve"> </w:t>
      </w:r>
      <w:r>
        <w:t>to</w:t>
      </w:r>
      <w:r>
        <w:rPr>
          <w:spacing w:val="-2"/>
        </w:rPr>
        <w:t xml:space="preserve"> </w:t>
      </w:r>
      <w:r>
        <w:t>the</w:t>
      </w:r>
      <w:r>
        <w:rPr>
          <w:spacing w:val="-1"/>
        </w:rPr>
        <w:t xml:space="preserve"> </w:t>
      </w:r>
      <w:r>
        <w:t>issues</w:t>
      </w:r>
      <w:r>
        <w:rPr>
          <w:spacing w:val="-2"/>
        </w:rPr>
        <w:t xml:space="preserve"> </w:t>
      </w:r>
      <w:r>
        <w:t>raised</w:t>
      </w:r>
      <w:r>
        <w:rPr>
          <w:spacing w:val="-4"/>
        </w:rPr>
        <w:t xml:space="preserve"> </w:t>
      </w:r>
      <w:r>
        <w:t>in</w:t>
      </w:r>
      <w:r>
        <w:rPr>
          <w:spacing w:val="-2"/>
        </w:rPr>
        <w:t xml:space="preserve"> </w:t>
      </w:r>
      <w:r>
        <w:t>paragraph</w:t>
      </w:r>
      <w:r>
        <w:rPr>
          <w:spacing w:val="-1"/>
        </w:rPr>
        <w:t xml:space="preserve"> </w:t>
      </w:r>
      <w:r>
        <w:t>11</w:t>
      </w:r>
      <w:r>
        <w:rPr>
          <w:spacing w:val="-2"/>
        </w:rPr>
        <w:t xml:space="preserve"> </w:t>
      </w:r>
      <w:r>
        <w:t>of</w:t>
      </w:r>
      <w:r>
        <w:rPr>
          <w:spacing w:val="-2"/>
        </w:rPr>
        <w:t xml:space="preserve"> </w:t>
      </w:r>
      <w:r>
        <w:t>the</w:t>
      </w:r>
      <w:r>
        <w:rPr>
          <w:spacing w:val="-1"/>
        </w:rPr>
        <w:t xml:space="preserve"> </w:t>
      </w:r>
      <w:r>
        <w:t>list</w:t>
      </w:r>
      <w:r>
        <w:rPr>
          <w:spacing w:val="-2"/>
        </w:rPr>
        <w:t xml:space="preserve"> </w:t>
      </w:r>
      <w:r>
        <w:t>of</w:t>
      </w:r>
      <w:r>
        <w:rPr>
          <w:spacing w:val="-3"/>
        </w:rPr>
        <w:t xml:space="preserve"> </w:t>
      </w:r>
      <w:r>
        <w:rPr>
          <w:spacing w:val="-2"/>
        </w:rPr>
        <w:t>issues</w:t>
      </w:r>
    </w:p>
    <w:p w14:paraId="3E118D8E" w14:textId="77777777" w:rsidR="00161C10" w:rsidRDefault="00CE2C8C">
      <w:pPr>
        <w:spacing w:before="159" w:line="276" w:lineRule="auto"/>
        <w:ind w:left="360" w:right="364"/>
        <w:jc w:val="both"/>
        <w:rPr>
          <w:rFonts w:ascii="Arial" w:hAnsi="Arial"/>
          <w:i/>
          <w:sz w:val="24"/>
        </w:rPr>
      </w:pPr>
      <w:r>
        <w:rPr>
          <w:rFonts w:ascii="Arial" w:hAnsi="Arial"/>
          <w:i/>
          <w:sz w:val="24"/>
        </w:rPr>
        <w:t>The European Union states that “investigating deaths of persons with disabilities in institutions is not an EU competence. Regional monitoring systems … aimed at preventing deaths in institutions, fall within the competence of Member States.”</w:t>
      </w:r>
    </w:p>
    <w:p w14:paraId="4270454C" w14:textId="77777777" w:rsidR="00161C10" w:rsidRDefault="00CE2C8C">
      <w:pPr>
        <w:pStyle w:val="BodyText"/>
        <w:spacing w:before="121" w:line="276" w:lineRule="auto"/>
        <w:ind w:left="360" w:right="354"/>
        <w:jc w:val="both"/>
        <w:rPr>
          <w:rFonts w:ascii="Arial" w:hAnsi="Arial"/>
          <w:i/>
        </w:rPr>
      </w:pPr>
      <w:r>
        <w:t xml:space="preserve">While it is true that justice is a national competence, there are tools the EU can use to investigate deaths in institutions, particularly those financed by EU funds. In July 2023, ENIL </w:t>
      </w:r>
      <w:hyperlink r:id="rId49">
        <w:r>
          <w:rPr>
            <w:color w:val="1154CC"/>
            <w:u w:val="single" w:color="1154CC"/>
          </w:rPr>
          <w:t>wrote to the</w:t>
        </w:r>
        <w:r>
          <w:rPr>
            <w:color w:val="1154CC"/>
            <w:spacing w:val="-1"/>
            <w:u w:val="single" w:color="1154CC"/>
          </w:rPr>
          <w:t xml:space="preserve"> </w:t>
        </w:r>
        <w:r>
          <w:rPr>
            <w:color w:val="1154CC"/>
            <w:u w:val="single" w:color="1154CC"/>
          </w:rPr>
          <w:t>European Commission</w:t>
        </w:r>
      </w:hyperlink>
      <w:r>
        <w:rPr>
          <w:color w:val="1154CC"/>
        </w:rPr>
        <w:t xml:space="preserve"> </w:t>
      </w:r>
      <w:r>
        <w:t>to</w:t>
      </w:r>
      <w:r>
        <w:rPr>
          <w:spacing w:val="-1"/>
        </w:rPr>
        <w:t xml:space="preserve"> </w:t>
      </w:r>
      <w:r>
        <w:t>express concerns</w:t>
      </w:r>
      <w:r>
        <w:rPr>
          <w:spacing w:val="-2"/>
        </w:rPr>
        <w:t xml:space="preserve"> </w:t>
      </w:r>
      <w:r>
        <w:t xml:space="preserve">about </w:t>
      </w:r>
      <w:hyperlink r:id="rId50">
        <w:r>
          <w:rPr>
            <w:color w:val="1154CC"/>
            <w:u w:val="single" w:color="1154CC"/>
          </w:rPr>
          <w:t>horrendous</w:t>
        </w:r>
        <w:r>
          <w:rPr>
            <w:color w:val="1154CC"/>
            <w:spacing w:val="-2"/>
            <w:u w:val="single" w:color="1154CC"/>
          </w:rPr>
          <w:t xml:space="preserve"> </w:t>
        </w:r>
        <w:r>
          <w:rPr>
            <w:color w:val="1154CC"/>
            <w:u w:val="single" w:color="1154CC"/>
          </w:rPr>
          <w:t>human</w:t>
        </w:r>
      </w:hyperlink>
      <w:r>
        <w:rPr>
          <w:color w:val="1154CC"/>
        </w:rPr>
        <w:t xml:space="preserve"> </w:t>
      </w:r>
      <w:hyperlink r:id="rId51">
        <w:r>
          <w:rPr>
            <w:color w:val="1154CC"/>
            <w:u w:val="single" w:color="1154CC"/>
          </w:rPr>
          <w:t>rights</w:t>
        </w:r>
        <w:r>
          <w:rPr>
            <w:color w:val="1154CC"/>
            <w:spacing w:val="-12"/>
            <w:u w:val="single" w:color="1154CC"/>
          </w:rPr>
          <w:t xml:space="preserve"> </w:t>
        </w:r>
        <w:r>
          <w:rPr>
            <w:color w:val="1154CC"/>
            <w:u w:val="single" w:color="1154CC"/>
          </w:rPr>
          <w:t>abuses</w:t>
        </w:r>
        <w:r>
          <w:rPr>
            <w:color w:val="1154CC"/>
            <w:spacing w:val="-13"/>
            <w:u w:val="single" w:color="1154CC"/>
          </w:rPr>
          <w:t xml:space="preserve"> </w:t>
        </w:r>
        <w:r>
          <w:rPr>
            <w:color w:val="1154CC"/>
            <w:u w:val="single" w:color="1154CC"/>
          </w:rPr>
          <w:t>(including</w:t>
        </w:r>
        <w:r>
          <w:rPr>
            <w:color w:val="1154CC"/>
            <w:spacing w:val="-12"/>
            <w:u w:val="single" w:color="1154CC"/>
          </w:rPr>
          <w:t xml:space="preserve"> </w:t>
        </w:r>
        <w:r>
          <w:rPr>
            <w:color w:val="1154CC"/>
            <w:u w:val="single" w:color="1154CC"/>
          </w:rPr>
          <w:t>deaths)</w:t>
        </w:r>
      </w:hyperlink>
      <w:r>
        <w:rPr>
          <w:color w:val="1154CC"/>
          <w:spacing w:val="-10"/>
        </w:rPr>
        <w:t xml:space="preserve"> </w:t>
      </w:r>
      <w:r>
        <w:t>against</w:t>
      </w:r>
      <w:r>
        <w:rPr>
          <w:spacing w:val="-14"/>
        </w:rPr>
        <w:t xml:space="preserve"> </w:t>
      </w:r>
      <w:r>
        <w:t>disabled</w:t>
      </w:r>
      <w:r>
        <w:rPr>
          <w:spacing w:val="-11"/>
        </w:rPr>
        <w:t xml:space="preserve"> </w:t>
      </w:r>
      <w:r>
        <w:t>and</w:t>
      </w:r>
      <w:r>
        <w:rPr>
          <w:spacing w:val="-12"/>
        </w:rPr>
        <w:t xml:space="preserve"> </w:t>
      </w:r>
      <w:r>
        <w:t>older</w:t>
      </w:r>
      <w:r>
        <w:rPr>
          <w:spacing w:val="-13"/>
        </w:rPr>
        <w:t xml:space="preserve"> </w:t>
      </w:r>
      <w:r>
        <w:t>people</w:t>
      </w:r>
      <w:r>
        <w:rPr>
          <w:spacing w:val="-12"/>
        </w:rPr>
        <w:t xml:space="preserve"> </w:t>
      </w:r>
      <w:r>
        <w:t>in</w:t>
      </w:r>
      <w:r>
        <w:rPr>
          <w:spacing w:val="-15"/>
        </w:rPr>
        <w:t xml:space="preserve"> </w:t>
      </w:r>
      <w:r>
        <w:t>Romania’s</w:t>
      </w:r>
      <w:r>
        <w:rPr>
          <w:spacing w:val="-13"/>
        </w:rPr>
        <w:t xml:space="preserve"> </w:t>
      </w:r>
      <w:r>
        <w:t>privately run,</w:t>
      </w:r>
      <w:r>
        <w:rPr>
          <w:spacing w:val="-17"/>
        </w:rPr>
        <w:t xml:space="preserve"> </w:t>
      </w:r>
      <w:r>
        <w:t>state-funded</w:t>
      </w:r>
      <w:r>
        <w:rPr>
          <w:spacing w:val="-17"/>
        </w:rPr>
        <w:t xml:space="preserve"> </w:t>
      </w:r>
      <w:r>
        <w:t>institutions,</w:t>
      </w:r>
      <w:r>
        <w:rPr>
          <w:spacing w:val="-16"/>
        </w:rPr>
        <w:t xml:space="preserve"> </w:t>
      </w:r>
      <w:r>
        <w:t>located</w:t>
      </w:r>
      <w:r>
        <w:rPr>
          <w:spacing w:val="-17"/>
        </w:rPr>
        <w:t xml:space="preserve"> </w:t>
      </w:r>
      <w:r>
        <w:t>in</w:t>
      </w:r>
      <w:r>
        <w:rPr>
          <w:spacing w:val="-17"/>
        </w:rPr>
        <w:t xml:space="preserve"> </w:t>
      </w:r>
      <w:r>
        <w:t>the</w:t>
      </w:r>
      <w:r>
        <w:rPr>
          <w:spacing w:val="-17"/>
        </w:rPr>
        <w:t xml:space="preserve"> </w:t>
      </w:r>
      <w:r>
        <w:t>community.</w:t>
      </w:r>
      <w:r>
        <w:rPr>
          <w:spacing w:val="-16"/>
        </w:rPr>
        <w:t xml:space="preserve"> </w:t>
      </w:r>
      <w:r>
        <w:t>The</w:t>
      </w:r>
      <w:r>
        <w:rPr>
          <w:spacing w:val="-17"/>
        </w:rPr>
        <w:t xml:space="preserve"> </w:t>
      </w:r>
      <w:r>
        <w:t>institutions</w:t>
      </w:r>
      <w:r>
        <w:rPr>
          <w:spacing w:val="-17"/>
        </w:rPr>
        <w:t xml:space="preserve"> </w:t>
      </w:r>
      <w:r>
        <w:t>were</w:t>
      </w:r>
      <w:r>
        <w:rPr>
          <w:spacing w:val="-16"/>
        </w:rPr>
        <w:t xml:space="preserve"> </w:t>
      </w:r>
      <w:r>
        <w:t>the</w:t>
      </w:r>
      <w:r>
        <w:rPr>
          <w:spacing w:val="-17"/>
        </w:rPr>
        <w:t xml:space="preserve"> </w:t>
      </w:r>
      <w:r>
        <w:t>textbook example of an inadequate deinstitutionalisation process, whereby disabled people were placed</w:t>
      </w:r>
      <w:r>
        <w:rPr>
          <w:spacing w:val="-9"/>
        </w:rPr>
        <w:t xml:space="preserve"> </w:t>
      </w:r>
      <w:r>
        <w:t>into</w:t>
      </w:r>
      <w:r>
        <w:rPr>
          <w:spacing w:val="-7"/>
        </w:rPr>
        <w:t xml:space="preserve"> </w:t>
      </w:r>
      <w:r>
        <w:t>smaller</w:t>
      </w:r>
      <w:r>
        <w:rPr>
          <w:spacing w:val="-9"/>
        </w:rPr>
        <w:t xml:space="preserve"> </w:t>
      </w:r>
      <w:r>
        <w:t>institutions,</w:t>
      </w:r>
      <w:r>
        <w:rPr>
          <w:spacing w:val="-10"/>
        </w:rPr>
        <w:t xml:space="preserve"> </w:t>
      </w:r>
      <w:r>
        <w:t>under</w:t>
      </w:r>
      <w:r>
        <w:rPr>
          <w:spacing w:val="-8"/>
        </w:rPr>
        <w:t xml:space="preserve"> </w:t>
      </w:r>
      <w:r>
        <w:t>the</w:t>
      </w:r>
      <w:r>
        <w:rPr>
          <w:spacing w:val="-9"/>
        </w:rPr>
        <w:t xml:space="preserve"> </w:t>
      </w:r>
      <w:r>
        <w:t>pretext</w:t>
      </w:r>
      <w:r>
        <w:rPr>
          <w:spacing w:val="-10"/>
        </w:rPr>
        <w:t xml:space="preserve"> </w:t>
      </w:r>
      <w:r>
        <w:t>of</w:t>
      </w:r>
      <w:r>
        <w:rPr>
          <w:spacing w:val="-10"/>
        </w:rPr>
        <w:t xml:space="preserve"> </w:t>
      </w:r>
      <w:r>
        <w:t>“community</w:t>
      </w:r>
      <w:r>
        <w:rPr>
          <w:spacing w:val="-8"/>
        </w:rPr>
        <w:t xml:space="preserve"> </w:t>
      </w:r>
      <w:r>
        <w:t>living”</w:t>
      </w:r>
      <w:r>
        <w:rPr>
          <w:spacing w:val="-8"/>
        </w:rPr>
        <w:t xml:space="preserve"> </w:t>
      </w:r>
      <w:r>
        <w:t>and</w:t>
      </w:r>
      <w:r>
        <w:rPr>
          <w:spacing w:val="-9"/>
        </w:rPr>
        <w:t xml:space="preserve"> </w:t>
      </w:r>
      <w:r>
        <w:t>where</w:t>
      </w:r>
      <w:r>
        <w:rPr>
          <w:spacing w:val="-10"/>
        </w:rPr>
        <w:t xml:space="preserve"> </w:t>
      </w:r>
      <w:r>
        <w:t>service providers</w:t>
      </w:r>
      <w:r>
        <w:rPr>
          <w:spacing w:val="-17"/>
        </w:rPr>
        <w:t xml:space="preserve"> </w:t>
      </w:r>
      <w:r>
        <w:t>acted</w:t>
      </w:r>
      <w:r>
        <w:rPr>
          <w:spacing w:val="-17"/>
        </w:rPr>
        <w:t xml:space="preserve"> </w:t>
      </w:r>
      <w:r>
        <w:t>with</w:t>
      </w:r>
      <w:r>
        <w:rPr>
          <w:spacing w:val="-16"/>
        </w:rPr>
        <w:t xml:space="preserve"> </w:t>
      </w:r>
      <w:r>
        <w:t>impunity,</w:t>
      </w:r>
      <w:r>
        <w:rPr>
          <w:spacing w:val="-17"/>
        </w:rPr>
        <w:t xml:space="preserve"> </w:t>
      </w:r>
      <w:r>
        <w:t>motivated</w:t>
      </w:r>
      <w:r>
        <w:rPr>
          <w:spacing w:val="-17"/>
        </w:rPr>
        <w:t xml:space="preserve"> </w:t>
      </w:r>
      <w:r>
        <w:t>entirely</w:t>
      </w:r>
      <w:r>
        <w:rPr>
          <w:spacing w:val="-17"/>
        </w:rPr>
        <w:t xml:space="preserve"> </w:t>
      </w:r>
      <w:r>
        <w:t>by</w:t>
      </w:r>
      <w:r>
        <w:rPr>
          <w:spacing w:val="-16"/>
        </w:rPr>
        <w:t xml:space="preserve"> </w:t>
      </w:r>
      <w:r>
        <w:t>money.</w:t>
      </w:r>
      <w:r>
        <w:rPr>
          <w:spacing w:val="-17"/>
        </w:rPr>
        <w:t xml:space="preserve"> </w:t>
      </w:r>
      <w:r>
        <w:t>Although</w:t>
      </w:r>
      <w:r>
        <w:rPr>
          <w:spacing w:val="-17"/>
        </w:rPr>
        <w:t xml:space="preserve"> </w:t>
      </w:r>
      <w:r>
        <w:t>we</w:t>
      </w:r>
      <w:r>
        <w:rPr>
          <w:spacing w:val="-16"/>
        </w:rPr>
        <w:t xml:space="preserve"> </w:t>
      </w:r>
      <w:r>
        <w:t>could</w:t>
      </w:r>
      <w:r>
        <w:rPr>
          <w:spacing w:val="-17"/>
        </w:rPr>
        <w:t xml:space="preserve"> </w:t>
      </w:r>
      <w:r>
        <w:t>not</w:t>
      </w:r>
      <w:r>
        <w:rPr>
          <w:spacing w:val="-17"/>
        </w:rPr>
        <w:t xml:space="preserve"> </w:t>
      </w:r>
      <w:r>
        <w:t>identify EU funding in the institutions concerned, similar settings have been financed by the EU and have been the subject of a complaint by ENIL (</w:t>
      </w:r>
      <w:hyperlink r:id="rId52">
        <w:r>
          <w:rPr>
            <w:color w:val="1154CC"/>
            <w:u w:val="single" w:color="1154CC"/>
          </w:rPr>
          <w:t>CHAP(2019)3555</w:t>
        </w:r>
      </w:hyperlink>
      <w:r>
        <w:t xml:space="preserve">), which was dismissed by the European Commission. In its response to our complaint, the Commission stated: </w:t>
      </w:r>
      <w:r>
        <w:rPr>
          <w:rFonts w:ascii="Arial" w:hAnsi="Arial"/>
          <w:i/>
        </w:rPr>
        <w:t xml:space="preserve">“… the Commission supports the need to carefully monitor the operations supported under the call </w:t>
      </w:r>
      <w:proofErr w:type="gramStart"/>
      <w:r>
        <w:rPr>
          <w:rFonts w:ascii="Arial" w:hAnsi="Arial"/>
          <w:i/>
        </w:rPr>
        <w:t>and also</w:t>
      </w:r>
      <w:proofErr w:type="gramEnd"/>
      <w:r>
        <w:rPr>
          <w:rFonts w:ascii="Arial" w:hAnsi="Arial"/>
          <w:i/>
        </w:rPr>
        <w:t xml:space="preserve"> to ensure that their future development is compliant</w:t>
      </w:r>
      <w:r>
        <w:rPr>
          <w:rFonts w:ascii="Arial" w:hAnsi="Arial"/>
          <w:i/>
          <w:spacing w:val="40"/>
        </w:rPr>
        <w:t xml:space="preserve"> </w:t>
      </w:r>
      <w:r>
        <w:rPr>
          <w:rFonts w:ascii="Arial" w:hAnsi="Arial"/>
          <w:i/>
        </w:rPr>
        <w:t>with</w:t>
      </w:r>
      <w:r>
        <w:rPr>
          <w:rFonts w:ascii="Arial" w:hAnsi="Arial"/>
          <w:i/>
          <w:spacing w:val="40"/>
        </w:rPr>
        <w:t xml:space="preserve"> </w:t>
      </w:r>
      <w:r>
        <w:rPr>
          <w:rFonts w:ascii="Arial" w:hAnsi="Arial"/>
          <w:i/>
        </w:rPr>
        <w:t>the</w:t>
      </w:r>
      <w:r>
        <w:rPr>
          <w:rFonts w:ascii="Arial" w:hAnsi="Arial"/>
          <w:i/>
          <w:spacing w:val="40"/>
        </w:rPr>
        <w:t xml:space="preserve"> </w:t>
      </w:r>
      <w:r>
        <w:rPr>
          <w:rFonts w:ascii="Arial" w:hAnsi="Arial"/>
          <w:i/>
        </w:rPr>
        <w:t>UNCRPD.</w:t>
      </w:r>
      <w:r>
        <w:rPr>
          <w:rFonts w:ascii="Arial" w:hAnsi="Arial"/>
          <w:i/>
          <w:spacing w:val="40"/>
        </w:rPr>
        <w:t xml:space="preserve"> </w:t>
      </w:r>
      <w:r>
        <w:rPr>
          <w:rFonts w:ascii="Arial" w:hAnsi="Arial"/>
          <w:i/>
        </w:rPr>
        <w:t>The</w:t>
      </w:r>
      <w:r>
        <w:rPr>
          <w:rFonts w:ascii="Arial" w:hAnsi="Arial"/>
          <w:i/>
          <w:spacing w:val="40"/>
        </w:rPr>
        <w:t xml:space="preserve"> </w:t>
      </w:r>
      <w:r>
        <w:rPr>
          <w:rFonts w:ascii="Arial" w:hAnsi="Arial"/>
          <w:i/>
        </w:rPr>
        <w:t>Commission</w:t>
      </w:r>
      <w:r>
        <w:rPr>
          <w:rFonts w:ascii="Arial" w:hAnsi="Arial"/>
          <w:i/>
          <w:spacing w:val="40"/>
        </w:rPr>
        <w:t xml:space="preserve"> </w:t>
      </w:r>
      <w:r>
        <w:rPr>
          <w:rFonts w:ascii="Arial" w:hAnsi="Arial"/>
          <w:i/>
        </w:rPr>
        <w:t>will</w:t>
      </w:r>
      <w:r>
        <w:rPr>
          <w:rFonts w:ascii="Arial" w:hAnsi="Arial"/>
          <w:i/>
          <w:spacing w:val="40"/>
        </w:rPr>
        <w:t xml:space="preserve"> </w:t>
      </w:r>
      <w:r>
        <w:rPr>
          <w:rFonts w:ascii="Arial" w:hAnsi="Arial"/>
          <w:i/>
        </w:rPr>
        <w:t>therefore</w:t>
      </w:r>
      <w:r>
        <w:rPr>
          <w:rFonts w:ascii="Arial" w:hAnsi="Arial"/>
          <w:i/>
          <w:spacing w:val="40"/>
        </w:rPr>
        <w:t xml:space="preserve"> </w:t>
      </w:r>
      <w:r>
        <w:rPr>
          <w:rFonts w:ascii="Arial" w:hAnsi="Arial"/>
          <w:i/>
        </w:rPr>
        <w:t>undertake</w:t>
      </w:r>
      <w:r>
        <w:rPr>
          <w:rFonts w:ascii="Arial" w:hAnsi="Arial"/>
          <w:i/>
          <w:spacing w:val="40"/>
        </w:rPr>
        <w:t xml:space="preserve"> </w:t>
      </w:r>
      <w:r>
        <w:rPr>
          <w:rFonts w:ascii="Arial" w:hAnsi="Arial"/>
          <w:i/>
        </w:rPr>
        <w:t>a</w:t>
      </w:r>
      <w:r>
        <w:rPr>
          <w:rFonts w:ascii="Arial" w:hAnsi="Arial"/>
          <w:i/>
          <w:spacing w:val="40"/>
        </w:rPr>
        <w:t xml:space="preserve"> </w:t>
      </w:r>
      <w:r>
        <w:rPr>
          <w:rFonts w:ascii="Arial" w:hAnsi="Arial"/>
          <w:i/>
        </w:rPr>
        <w:t>number</w:t>
      </w:r>
      <w:r>
        <w:rPr>
          <w:rFonts w:ascii="Arial" w:hAnsi="Arial"/>
          <w:i/>
          <w:spacing w:val="40"/>
        </w:rPr>
        <w:t xml:space="preserve"> </w:t>
      </w:r>
      <w:r>
        <w:rPr>
          <w:rFonts w:ascii="Arial" w:hAnsi="Arial"/>
          <w:i/>
        </w:rPr>
        <w:t>of</w:t>
      </w:r>
    </w:p>
    <w:p w14:paraId="681F3DBD" w14:textId="77777777" w:rsidR="00161C10" w:rsidRDefault="00161C10">
      <w:pPr>
        <w:pStyle w:val="BodyText"/>
        <w:spacing w:line="276" w:lineRule="auto"/>
        <w:jc w:val="both"/>
        <w:rPr>
          <w:rFonts w:ascii="Arial" w:hAnsi="Arial"/>
          <w:i/>
        </w:rPr>
        <w:sectPr w:rsidR="00161C10">
          <w:pgSz w:w="12240" w:h="15840"/>
          <w:pgMar w:top="1360" w:right="1080" w:bottom="1540" w:left="1080" w:header="0" w:footer="1274" w:gutter="0"/>
          <w:cols w:space="720"/>
        </w:sectPr>
      </w:pPr>
    </w:p>
    <w:p w14:paraId="1190604B" w14:textId="77777777" w:rsidR="00161C10" w:rsidRDefault="00CE2C8C">
      <w:pPr>
        <w:pStyle w:val="BodyText"/>
        <w:spacing w:before="81" w:line="276" w:lineRule="auto"/>
        <w:ind w:left="360" w:right="358"/>
        <w:jc w:val="both"/>
      </w:pPr>
      <w:r>
        <w:rPr>
          <w:rFonts w:ascii="Arial" w:hAnsi="Arial"/>
          <w:i/>
        </w:rPr>
        <w:lastRenderedPageBreak/>
        <w:t>follow-up</w:t>
      </w:r>
      <w:r>
        <w:rPr>
          <w:rFonts w:ascii="Arial" w:hAnsi="Arial"/>
          <w:i/>
          <w:spacing w:val="-17"/>
        </w:rPr>
        <w:t xml:space="preserve"> </w:t>
      </w:r>
      <w:r>
        <w:rPr>
          <w:rFonts w:ascii="Arial" w:hAnsi="Arial"/>
          <w:i/>
        </w:rPr>
        <w:t>actions</w:t>
      </w:r>
      <w:r>
        <w:rPr>
          <w:rFonts w:ascii="Arial" w:hAnsi="Arial"/>
          <w:i/>
          <w:spacing w:val="-17"/>
        </w:rPr>
        <w:t xml:space="preserve"> </w:t>
      </w:r>
      <w:r>
        <w:rPr>
          <w:rFonts w:ascii="Arial" w:hAnsi="Arial"/>
          <w:i/>
        </w:rPr>
        <w:t>for</w:t>
      </w:r>
      <w:r>
        <w:rPr>
          <w:rFonts w:ascii="Arial" w:hAnsi="Arial"/>
          <w:i/>
          <w:spacing w:val="-16"/>
        </w:rPr>
        <w:t xml:space="preserve"> </w:t>
      </w:r>
      <w:r>
        <w:rPr>
          <w:rFonts w:ascii="Arial" w:hAnsi="Arial"/>
          <w:i/>
        </w:rPr>
        <w:t>monitoring</w:t>
      </w:r>
      <w:r>
        <w:rPr>
          <w:rFonts w:ascii="Arial" w:hAnsi="Arial"/>
          <w:i/>
          <w:spacing w:val="-17"/>
        </w:rPr>
        <w:t xml:space="preserve"> </w:t>
      </w:r>
      <w:r>
        <w:rPr>
          <w:rFonts w:ascii="Arial" w:hAnsi="Arial"/>
          <w:i/>
        </w:rPr>
        <w:t>purposes…</w:t>
      </w:r>
      <w:r>
        <w:t>”.</w:t>
      </w:r>
      <w:r>
        <w:rPr>
          <w:spacing w:val="-17"/>
        </w:rPr>
        <w:t xml:space="preserve"> </w:t>
      </w:r>
      <w:r>
        <w:t>However,</w:t>
      </w:r>
      <w:r>
        <w:rPr>
          <w:spacing w:val="-17"/>
        </w:rPr>
        <w:t xml:space="preserve"> </w:t>
      </w:r>
      <w:r>
        <w:t>despite</w:t>
      </w:r>
      <w:r>
        <w:rPr>
          <w:spacing w:val="-15"/>
        </w:rPr>
        <w:t xml:space="preserve"> </w:t>
      </w:r>
      <w:r>
        <w:t>asking</w:t>
      </w:r>
      <w:r>
        <w:rPr>
          <w:spacing w:val="-14"/>
        </w:rPr>
        <w:t xml:space="preserve"> </w:t>
      </w:r>
      <w:r>
        <w:t>for</w:t>
      </w:r>
      <w:r>
        <w:rPr>
          <w:spacing w:val="-16"/>
        </w:rPr>
        <w:t xml:space="preserve"> </w:t>
      </w:r>
      <w:r>
        <w:t>this</w:t>
      </w:r>
      <w:r>
        <w:rPr>
          <w:spacing w:val="-17"/>
        </w:rPr>
        <w:t xml:space="preserve"> </w:t>
      </w:r>
      <w:r>
        <w:t>information repeatedly,</w:t>
      </w:r>
      <w:r>
        <w:rPr>
          <w:spacing w:val="-4"/>
        </w:rPr>
        <w:t xml:space="preserve"> </w:t>
      </w:r>
      <w:r>
        <w:t>we</w:t>
      </w:r>
      <w:r>
        <w:rPr>
          <w:spacing w:val="-4"/>
        </w:rPr>
        <w:t xml:space="preserve"> </w:t>
      </w:r>
      <w:r>
        <w:t>were</w:t>
      </w:r>
      <w:r>
        <w:rPr>
          <w:spacing w:val="-4"/>
        </w:rPr>
        <w:t xml:space="preserve"> </w:t>
      </w:r>
      <w:r>
        <w:t>never</w:t>
      </w:r>
      <w:r>
        <w:rPr>
          <w:spacing w:val="-5"/>
        </w:rPr>
        <w:t xml:space="preserve"> </w:t>
      </w:r>
      <w:r>
        <w:t>able</w:t>
      </w:r>
      <w:r>
        <w:rPr>
          <w:spacing w:val="-4"/>
        </w:rPr>
        <w:t xml:space="preserve"> </w:t>
      </w:r>
      <w:r>
        <w:t>to</w:t>
      </w:r>
      <w:r>
        <w:rPr>
          <w:spacing w:val="-4"/>
        </w:rPr>
        <w:t xml:space="preserve"> </w:t>
      </w:r>
      <w:r>
        <w:t>establish</w:t>
      </w:r>
      <w:r>
        <w:rPr>
          <w:spacing w:val="-4"/>
        </w:rPr>
        <w:t xml:space="preserve"> </w:t>
      </w:r>
      <w:r>
        <w:t>how</w:t>
      </w:r>
      <w:r>
        <w:rPr>
          <w:spacing w:val="-5"/>
        </w:rPr>
        <w:t xml:space="preserve"> </w:t>
      </w:r>
      <w:r>
        <w:t>this</w:t>
      </w:r>
      <w:r>
        <w:rPr>
          <w:spacing w:val="-5"/>
        </w:rPr>
        <w:t xml:space="preserve"> </w:t>
      </w:r>
      <w:r>
        <w:t>monitoring</w:t>
      </w:r>
      <w:r>
        <w:rPr>
          <w:spacing w:val="-4"/>
        </w:rPr>
        <w:t xml:space="preserve"> </w:t>
      </w:r>
      <w:r>
        <w:t>is</w:t>
      </w:r>
      <w:r>
        <w:rPr>
          <w:spacing w:val="-5"/>
        </w:rPr>
        <w:t xml:space="preserve"> </w:t>
      </w:r>
      <w:r>
        <w:t>taking</w:t>
      </w:r>
      <w:r>
        <w:rPr>
          <w:spacing w:val="-3"/>
        </w:rPr>
        <w:t xml:space="preserve"> </w:t>
      </w:r>
      <w:r>
        <w:t>place</w:t>
      </w:r>
      <w:r>
        <w:rPr>
          <w:spacing w:val="-4"/>
        </w:rPr>
        <w:t xml:space="preserve"> </w:t>
      </w:r>
      <w:r>
        <w:t>and</w:t>
      </w:r>
      <w:r>
        <w:rPr>
          <w:spacing w:val="-4"/>
        </w:rPr>
        <w:t xml:space="preserve"> </w:t>
      </w:r>
      <w:r>
        <w:t>what the results of the monitoring are.</w:t>
      </w:r>
    </w:p>
    <w:p w14:paraId="6ACACE8C" w14:textId="77777777" w:rsidR="00161C10" w:rsidRDefault="00CE2C8C">
      <w:pPr>
        <w:pStyle w:val="BodyText"/>
        <w:spacing w:before="120" w:line="276" w:lineRule="auto"/>
        <w:ind w:left="360" w:right="354"/>
        <w:jc w:val="both"/>
      </w:pPr>
      <w:r>
        <w:t>More</w:t>
      </w:r>
      <w:r>
        <w:rPr>
          <w:spacing w:val="-10"/>
        </w:rPr>
        <w:t xml:space="preserve"> </w:t>
      </w:r>
      <w:r>
        <w:t>recently,</w:t>
      </w:r>
      <w:r>
        <w:rPr>
          <w:spacing w:val="-9"/>
        </w:rPr>
        <w:t xml:space="preserve"> </w:t>
      </w:r>
      <w:r>
        <w:t>in</w:t>
      </w:r>
      <w:r>
        <w:rPr>
          <w:spacing w:val="-11"/>
        </w:rPr>
        <w:t xml:space="preserve"> </w:t>
      </w:r>
      <w:r>
        <w:t>September</w:t>
      </w:r>
      <w:r>
        <w:rPr>
          <w:spacing w:val="-12"/>
        </w:rPr>
        <w:t xml:space="preserve"> </w:t>
      </w:r>
      <w:r>
        <w:t>2024,</w:t>
      </w:r>
      <w:r>
        <w:rPr>
          <w:spacing w:val="-11"/>
        </w:rPr>
        <w:t xml:space="preserve"> </w:t>
      </w:r>
      <w:r>
        <w:t>ENIL</w:t>
      </w:r>
      <w:r>
        <w:rPr>
          <w:spacing w:val="-8"/>
        </w:rPr>
        <w:t xml:space="preserve"> </w:t>
      </w:r>
      <w:r>
        <w:t>was</w:t>
      </w:r>
      <w:r>
        <w:rPr>
          <w:spacing w:val="-10"/>
        </w:rPr>
        <w:t xml:space="preserve"> </w:t>
      </w:r>
      <w:hyperlink r:id="rId53">
        <w:r>
          <w:rPr>
            <w:color w:val="1154CC"/>
            <w:u w:val="single" w:color="1154CC"/>
          </w:rPr>
          <w:t>made</w:t>
        </w:r>
        <w:r>
          <w:rPr>
            <w:color w:val="1154CC"/>
            <w:spacing w:val="-11"/>
            <w:u w:val="single" w:color="1154CC"/>
          </w:rPr>
          <w:t xml:space="preserve"> </w:t>
        </w:r>
        <w:r>
          <w:rPr>
            <w:color w:val="1154CC"/>
            <w:u w:val="single" w:color="1154CC"/>
          </w:rPr>
          <w:t>aware</w:t>
        </w:r>
      </w:hyperlink>
      <w:r>
        <w:rPr>
          <w:color w:val="1154CC"/>
          <w:spacing w:val="-10"/>
        </w:rPr>
        <w:t xml:space="preserve"> </w:t>
      </w:r>
      <w:r>
        <w:t>of</w:t>
      </w:r>
      <w:r>
        <w:rPr>
          <w:spacing w:val="-11"/>
        </w:rPr>
        <w:t xml:space="preserve"> </w:t>
      </w:r>
      <w:r>
        <w:t>a</w:t>
      </w:r>
      <w:r>
        <w:rPr>
          <w:spacing w:val="-11"/>
        </w:rPr>
        <w:t xml:space="preserve"> </w:t>
      </w:r>
      <w:r>
        <w:t>death</w:t>
      </w:r>
      <w:r>
        <w:rPr>
          <w:spacing w:val="-10"/>
        </w:rPr>
        <w:t xml:space="preserve"> </w:t>
      </w:r>
      <w:r>
        <w:t>of</w:t>
      </w:r>
      <w:r>
        <w:rPr>
          <w:spacing w:val="-11"/>
        </w:rPr>
        <w:t xml:space="preserve"> </w:t>
      </w:r>
      <w:r>
        <w:t>a</w:t>
      </w:r>
      <w:r>
        <w:rPr>
          <w:spacing w:val="-11"/>
        </w:rPr>
        <w:t xml:space="preserve"> </w:t>
      </w:r>
      <w:r>
        <w:t>15-year</w:t>
      </w:r>
      <w:r>
        <w:rPr>
          <w:spacing w:val="-11"/>
        </w:rPr>
        <w:t xml:space="preserve"> </w:t>
      </w:r>
      <w:r>
        <w:t>old</w:t>
      </w:r>
      <w:r>
        <w:rPr>
          <w:spacing w:val="-12"/>
        </w:rPr>
        <w:t xml:space="preserve"> </w:t>
      </w:r>
      <w:r>
        <w:t>boy in</w:t>
      </w:r>
      <w:r>
        <w:rPr>
          <w:spacing w:val="-7"/>
        </w:rPr>
        <w:t xml:space="preserve"> </w:t>
      </w:r>
      <w:r>
        <w:t>a</w:t>
      </w:r>
      <w:r>
        <w:rPr>
          <w:spacing w:val="-7"/>
        </w:rPr>
        <w:t xml:space="preserve"> </w:t>
      </w:r>
      <w:r>
        <w:t>Croatian</w:t>
      </w:r>
      <w:r>
        <w:rPr>
          <w:spacing w:val="-9"/>
        </w:rPr>
        <w:t xml:space="preserve"> </w:t>
      </w:r>
      <w:r>
        <w:t>institution</w:t>
      </w:r>
      <w:r>
        <w:rPr>
          <w:spacing w:val="-9"/>
        </w:rPr>
        <w:t xml:space="preserve"> </w:t>
      </w:r>
      <w:r>
        <w:t>for</w:t>
      </w:r>
      <w:r>
        <w:rPr>
          <w:spacing w:val="-11"/>
        </w:rPr>
        <w:t xml:space="preserve"> </w:t>
      </w:r>
      <w:r>
        <w:t>disabled</w:t>
      </w:r>
      <w:r>
        <w:rPr>
          <w:spacing w:val="-7"/>
        </w:rPr>
        <w:t xml:space="preserve"> </w:t>
      </w:r>
      <w:r>
        <w:t>people,</w:t>
      </w:r>
      <w:r>
        <w:rPr>
          <w:spacing w:val="-7"/>
        </w:rPr>
        <w:t xml:space="preserve"> </w:t>
      </w:r>
      <w:r>
        <w:t>which</w:t>
      </w:r>
      <w:r>
        <w:rPr>
          <w:spacing w:val="-7"/>
        </w:rPr>
        <w:t xml:space="preserve"> </w:t>
      </w:r>
      <w:r>
        <w:t>has</w:t>
      </w:r>
      <w:r>
        <w:rPr>
          <w:spacing w:val="-10"/>
        </w:rPr>
        <w:t xml:space="preserve"> </w:t>
      </w:r>
      <w:r>
        <w:t>been</w:t>
      </w:r>
      <w:r>
        <w:rPr>
          <w:spacing w:val="-7"/>
        </w:rPr>
        <w:t xml:space="preserve"> </w:t>
      </w:r>
      <w:r>
        <w:t>in</w:t>
      </w:r>
      <w:r>
        <w:rPr>
          <w:spacing w:val="-10"/>
        </w:rPr>
        <w:t xml:space="preserve"> </w:t>
      </w:r>
      <w:r>
        <w:t>receipt</w:t>
      </w:r>
      <w:r>
        <w:rPr>
          <w:spacing w:val="-7"/>
        </w:rPr>
        <w:t xml:space="preserve"> </w:t>
      </w:r>
      <w:r>
        <w:t>of</w:t>
      </w:r>
      <w:r>
        <w:rPr>
          <w:spacing w:val="-10"/>
        </w:rPr>
        <w:t xml:space="preserve"> </w:t>
      </w:r>
      <w:r>
        <w:t>EU</w:t>
      </w:r>
      <w:r>
        <w:rPr>
          <w:spacing w:val="-8"/>
        </w:rPr>
        <w:t xml:space="preserve"> </w:t>
      </w:r>
      <w:r>
        <w:t>funds</w:t>
      </w:r>
      <w:r>
        <w:rPr>
          <w:spacing w:val="-8"/>
        </w:rPr>
        <w:t xml:space="preserve"> </w:t>
      </w:r>
      <w:r>
        <w:t>for</w:t>
      </w:r>
      <w:r>
        <w:rPr>
          <w:spacing w:val="-8"/>
        </w:rPr>
        <w:t xml:space="preserve"> </w:t>
      </w:r>
      <w:r>
        <w:t>the process</w:t>
      </w:r>
      <w:r>
        <w:rPr>
          <w:spacing w:val="-2"/>
        </w:rPr>
        <w:t xml:space="preserve"> </w:t>
      </w:r>
      <w:r>
        <w:t>of</w:t>
      </w:r>
      <w:r>
        <w:rPr>
          <w:spacing w:val="-2"/>
        </w:rPr>
        <w:t xml:space="preserve"> </w:t>
      </w:r>
      <w:r>
        <w:t>“transformation”.</w:t>
      </w:r>
      <w:r>
        <w:rPr>
          <w:spacing w:val="-2"/>
        </w:rPr>
        <w:t xml:space="preserve"> </w:t>
      </w:r>
      <w:r>
        <w:t>To</w:t>
      </w:r>
      <w:r>
        <w:rPr>
          <w:spacing w:val="-2"/>
        </w:rPr>
        <w:t xml:space="preserve"> </w:t>
      </w:r>
      <w:r>
        <w:t>our</w:t>
      </w:r>
      <w:r>
        <w:rPr>
          <w:spacing w:val="-2"/>
        </w:rPr>
        <w:t xml:space="preserve"> </w:t>
      </w:r>
      <w:r>
        <w:t>knowledge,</w:t>
      </w:r>
      <w:r>
        <w:rPr>
          <w:spacing w:val="-2"/>
        </w:rPr>
        <w:t xml:space="preserve"> </w:t>
      </w:r>
      <w:r>
        <w:t>no</w:t>
      </w:r>
      <w:r>
        <w:rPr>
          <w:spacing w:val="-2"/>
        </w:rPr>
        <w:t xml:space="preserve"> </w:t>
      </w:r>
      <w:r>
        <w:t>investigation</w:t>
      </w:r>
      <w:r>
        <w:rPr>
          <w:spacing w:val="-4"/>
        </w:rPr>
        <w:t xml:space="preserve"> </w:t>
      </w:r>
      <w:r>
        <w:t>has</w:t>
      </w:r>
      <w:r>
        <w:rPr>
          <w:spacing w:val="-5"/>
        </w:rPr>
        <w:t xml:space="preserve"> </w:t>
      </w:r>
      <w:r>
        <w:t>been</w:t>
      </w:r>
      <w:r>
        <w:rPr>
          <w:spacing w:val="-4"/>
        </w:rPr>
        <w:t xml:space="preserve"> </w:t>
      </w:r>
      <w:r>
        <w:t>undertaken</w:t>
      </w:r>
      <w:r>
        <w:rPr>
          <w:spacing w:val="-2"/>
        </w:rPr>
        <w:t xml:space="preserve"> </w:t>
      </w:r>
      <w:r>
        <w:t>by the Commission to establish the circumstances of this case.</w:t>
      </w:r>
    </w:p>
    <w:p w14:paraId="0162BEA2" w14:textId="77777777" w:rsidR="00161C10" w:rsidRDefault="00CE2C8C">
      <w:pPr>
        <w:pStyle w:val="BodyText"/>
        <w:spacing w:before="120" w:line="276" w:lineRule="auto"/>
        <w:ind w:left="360" w:right="354"/>
        <w:jc w:val="both"/>
      </w:pPr>
      <w:r>
        <w:t xml:space="preserve">We wish to note that the EU does have competences </w:t>
      </w:r>
      <w:proofErr w:type="gramStart"/>
      <w:r>
        <w:t>in regard to</w:t>
      </w:r>
      <w:proofErr w:type="gramEnd"/>
      <w:r>
        <w:t xml:space="preserve"> the rule of law and fundamental rights, when a Member State is failing to investigate deaths or is failing to protect</w:t>
      </w:r>
      <w:r>
        <w:rPr>
          <w:spacing w:val="-17"/>
        </w:rPr>
        <w:t xml:space="preserve"> </w:t>
      </w:r>
      <w:r>
        <w:t>the</w:t>
      </w:r>
      <w:r>
        <w:rPr>
          <w:spacing w:val="-17"/>
        </w:rPr>
        <w:t xml:space="preserve"> </w:t>
      </w:r>
      <w:r>
        <w:t>rights</w:t>
      </w:r>
      <w:r>
        <w:rPr>
          <w:spacing w:val="-16"/>
        </w:rPr>
        <w:t xml:space="preserve"> </w:t>
      </w:r>
      <w:r>
        <w:t>of</w:t>
      </w:r>
      <w:r>
        <w:rPr>
          <w:spacing w:val="-17"/>
        </w:rPr>
        <w:t xml:space="preserve"> </w:t>
      </w:r>
      <w:r>
        <w:t>disabled</w:t>
      </w:r>
      <w:r>
        <w:rPr>
          <w:spacing w:val="-17"/>
        </w:rPr>
        <w:t xml:space="preserve"> </w:t>
      </w:r>
      <w:r>
        <w:t>people</w:t>
      </w:r>
      <w:hyperlink w:anchor="_bookmark4" w:history="1">
        <w:r>
          <w:rPr>
            <w:position w:val="8"/>
            <w:sz w:val="16"/>
          </w:rPr>
          <w:t>5</w:t>
        </w:r>
      </w:hyperlink>
      <w:r>
        <w:t>.</w:t>
      </w:r>
      <w:r>
        <w:rPr>
          <w:spacing w:val="-16"/>
        </w:rPr>
        <w:t xml:space="preserve"> </w:t>
      </w:r>
      <w:r>
        <w:t>In</w:t>
      </w:r>
      <w:r>
        <w:rPr>
          <w:spacing w:val="-15"/>
        </w:rPr>
        <w:t xml:space="preserve"> </w:t>
      </w:r>
      <w:r>
        <w:t>addition,</w:t>
      </w:r>
      <w:r>
        <w:rPr>
          <w:spacing w:val="-16"/>
        </w:rPr>
        <w:t xml:space="preserve"> </w:t>
      </w:r>
      <w:r>
        <w:t>the</w:t>
      </w:r>
      <w:r>
        <w:rPr>
          <w:spacing w:val="-16"/>
        </w:rPr>
        <w:t xml:space="preserve"> </w:t>
      </w:r>
      <w:r>
        <w:t>European</w:t>
      </w:r>
      <w:r>
        <w:rPr>
          <w:spacing w:val="-17"/>
        </w:rPr>
        <w:t xml:space="preserve"> </w:t>
      </w:r>
      <w:r>
        <w:t>Public</w:t>
      </w:r>
      <w:r>
        <w:rPr>
          <w:spacing w:val="-17"/>
        </w:rPr>
        <w:t xml:space="preserve"> </w:t>
      </w:r>
      <w:r>
        <w:t>Prosecutor’s</w:t>
      </w:r>
      <w:r>
        <w:rPr>
          <w:spacing w:val="-16"/>
        </w:rPr>
        <w:t xml:space="preserve"> </w:t>
      </w:r>
      <w:r>
        <w:t>Office is responsible for investigating, prosecuting and bringing to judgment crimes</w:t>
      </w:r>
      <w:r>
        <w:rPr>
          <w:spacing w:val="-1"/>
        </w:rPr>
        <w:t xml:space="preserve"> </w:t>
      </w:r>
      <w:r>
        <w:t xml:space="preserve">against the financial interests of the EU. As far as ENIL is aware, there has been no case to date involving institutions for disabled people, likely due to the limited scope of the Public Prosecutor’s Office’s competences or the fact that there is not as much scrutiny over residential care settings for disabled people. In most Member States, </w:t>
      </w:r>
      <w:proofErr w:type="spellStart"/>
      <w:r>
        <w:t>institutionalisation</w:t>
      </w:r>
      <w:proofErr w:type="spellEnd"/>
      <w:r>
        <w:t xml:space="preserve"> of disabled people is still seen as the only option for those that require a lot of support. Equally, disabled people who live in such settings are not protected or offered other alternative options in the community in case they become whistleblowers.</w:t>
      </w:r>
    </w:p>
    <w:p w14:paraId="44380460" w14:textId="77777777" w:rsidR="00161C10" w:rsidRDefault="00CE2C8C">
      <w:pPr>
        <w:pStyle w:val="BodyText"/>
        <w:spacing w:before="115" w:line="276" w:lineRule="auto"/>
        <w:ind w:left="360" w:right="365"/>
        <w:jc w:val="both"/>
      </w:pPr>
      <w:r>
        <w:t>The European Commission can also use political pressure and dialogue to ensure that Member States fulfill their duties, fund remedy mechanisms, and ultimately report the Member State to the Court of Justice of the European Union.</w:t>
      </w:r>
    </w:p>
    <w:p w14:paraId="340CA135" w14:textId="77777777" w:rsidR="00161C10" w:rsidRDefault="00CE2C8C">
      <w:pPr>
        <w:pStyle w:val="BodyText"/>
        <w:spacing w:before="121" w:line="276" w:lineRule="auto"/>
        <w:ind w:left="360" w:right="362"/>
        <w:jc w:val="both"/>
      </w:pPr>
      <w:r>
        <w:t>We</w:t>
      </w:r>
      <w:r>
        <w:rPr>
          <w:spacing w:val="-6"/>
        </w:rPr>
        <w:t xml:space="preserve"> </w:t>
      </w:r>
      <w:r>
        <w:t>welcome</w:t>
      </w:r>
      <w:r>
        <w:rPr>
          <w:spacing w:val="-6"/>
        </w:rPr>
        <w:t xml:space="preserve"> </w:t>
      </w:r>
      <w:r>
        <w:t>the</w:t>
      </w:r>
      <w:r>
        <w:rPr>
          <w:spacing w:val="-6"/>
        </w:rPr>
        <w:t xml:space="preserve"> </w:t>
      </w:r>
      <w:r>
        <w:t>fact</w:t>
      </w:r>
      <w:r>
        <w:rPr>
          <w:spacing w:val="-6"/>
        </w:rPr>
        <w:t xml:space="preserve"> </w:t>
      </w:r>
      <w:r>
        <w:t>that</w:t>
      </w:r>
      <w:r>
        <w:rPr>
          <w:spacing w:val="-6"/>
        </w:rPr>
        <w:t xml:space="preserve"> </w:t>
      </w:r>
      <w:r>
        <w:t>the</w:t>
      </w:r>
      <w:r>
        <w:rPr>
          <w:spacing w:val="-6"/>
        </w:rPr>
        <w:t xml:space="preserve"> </w:t>
      </w:r>
      <w:r>
        <w:t>Commission</w:t>
      </w:r>
      <w:r>
        <w:rPr>
          <w:spacing w:val="-8"/>
        </w:rPr>
        <w:t xml:space="preserve"> </w:t>
      </w:r>
      <w:r>
        <w:t>has</w:t>
      </w:r>
      <w:r>
        <w:rPr>
          <w:spacing w:val="-6"/>
        </w:rPr>
        <w:t xml:space="preserve"> </w:t>
      </w:r>
      <w:r>
        <w:t>asked</w:t>
      </w:r>
      <w:r>
        <w:rPr>
          <w:spacing w:val="-8"/>
        </w:rPr>
        <w:t xml:space="preserve"> </w:t>
      </w:r>
      <w:r>
        <w:t>the</w:t>
      </w:r>
      <w:r>
        <w:rPr>
          <w:spacing w:val="-6"/>
        </w:rPr>
        <w:t xml:space="preserve"> </w:t>
      </w:r>
      <w:r>
        <w:t>Fundamental</w:t>
      </w:r>
      <w:r>
        <w:rPr>
          <w:spacing w:val="-7"/>
        </w:rPr>
        <w:t xml:space="preserve"> </w:t>
      </w:r>
      <w:r>
        <w:t>Rights</w:t>
      </w:r>
      <w:r>
        <w:rPr>
          <w:spacing w:val="-8"/>
        </w:rPr>
        <w:t xml:space="preserve"> </w:t>
      </w:r>
      <w:r>
        <w:t>Agency</w:t>
      </w:r>
      <w:r>
        <w:rPr>
          <w:spacing w:val="-6"/>
        </w:rPr>
        <w:t xml:space="preserve"> </w:t>
      </w:r>
      <w:r>
        <w:t>to undertake research on violence, abuse and torture in institutions. This report is instrumental</w:t>
      </w:r>
      <w:r>
        <w:rPr>
          <w:spacing w:val="-4"/>
        </w:rPr>
        <w:t xml:space="preserve"> </w:t>
      </w:r>
      <w:r>
        <w:t>in</w:t>
      </w:r>
      <w:r>
        <w:rPr>
          <w:spacing w:val="-3"/>
        </w:rPr>
        <w:t xml:space="preserve"> </w:t>
      </w:r>
      <w:r>
        <w:t>gathering</w:t>
      </w:r>
      <w:r>
        <w:rPr>
          <w:spacing w:val="-3"/>
        </w:rPr>
        <w:t xml:space="preserve"> </w:t>
      </w:r>
      <w:r>
        <w:t>and</w:t>
      </w:r>
      <w:r>
        <w:rPr>
          <w:spacing w:val="-2"/>
        </w:rPr>
        <w:t xml:space="preserve"> </w:t>
      </w:r>
      <w:r>
        <w:t>publicizing</w:t>
      </w:r>
      <w:r>
        <w:rPr>
          <w:spacing w:val="-3"/>
        </w:rPr>
        <w:t xml:space="preserve"> </w:t>
      </w:r>
      <w:r>
        <w:t>data, as</w:t>
      </w:r>
      <w:r>
        <w:rPr>
          <w:spacing w:val="-3"/>
        </w:rPr>
        <w:t xml:space="preserve"> </w:t>
      </w:r>
      <w:r>
        <w:t>well</w:t>
      </w:r>
      <w:r>
        <w:rPr>
          <w:spacing w:val="-1"/>
        </w:rPr>
        <w:t xml:space="preserve"> </w:t>
      </w:r>
      <w:r>
        <w:t>as</w:t>
      </w:r>
      <w:r>
        <w:rPr>
          <w:spacing w:val="-3"/>
        </w:rPr>
        <w:t xml:space="preserve"> </w:t>
      </w:r>
      <w:r>
        <w:t>raising</w:t>
      </w:r>
      <w:r>
        <w:rPr>
          <w:spacing w:val="-2"/>
        </w:rPr>
        <w:t xml:space="preserve"> </w:t>
      </w:r>
      <w:r>
        <w:t>awareness.</w:t>
      </w:r>
      <w:r>
        <w:rPr>
          <w:spacing w:val="-3"/>
        </w:rPr>
        <w:t xml:space="preserve"> </w:t>
      </w:r>
      <w:r>
        <w:t>However,</w:t>
      </w:r>
      <w:r>
        <w:rPr>
          <w:spacing w:val="-3"/>
        </w:rPr>
        <w:t xml:space="preserve"> </w:t>
      </w:r>
      <w:r>
        <w:t>it cannot be equated to an investigation, which could eventually lead to prosecution and a court judgment, as well as other sanctions against the MS concerned.</w:t>
      </w:r>
    </w:p>
    <w:p w14:paraId="63913463" w14:textId="77777777" w:rsidR="00161C10" w:rsidRDefault="00CE2C8C">
      <w:pPr>
        <w:spacing w:before="119"/>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54939467" w14:textId="77777777" w:rsidR="00161C10" w:rsidRDefault="00CE2C8C">
      <w:pPr>
        <w:pStyle w:val="BodyText"/>
        <w:spacing w:before="1"/>
        <w:rPr>
          <w:rFonts w:ascii="Arial"/>
          <w:b/>
          <w:i/>
          <w:sz w:val="12"/>
        </w:rPr>
      </w:pPr>
      <w:r>
        <w:rPr>
          <w:rFonts w:ascii="Arial"/>
          <w:b/>
          <w:i/>
          <w:noProof/>
          <w:sz w:val="12"/>
        </w:rPr>
        <mc:AlternateContent>
          <mc:Choice Requires="wpg">
            <w:drawing>
              <wp:anchor distT="0" distB="0" distL="0" distR="0" simplePos="0" relativeHeight="487593984" behindDoc="1" locked="0" layoutInCell="1" allowOverlap="1" wp14:anchorId="4F0D6C0B" wp14:editId="50F6D3A9">
                <wp:simplePos x="0" y="0"/>
                <wp:positionH relativeFrom="page">
                  <wp:posOffset>840028</wp:posOffset>
                </wp:positionH>
                <wp:positionV relativeFrom="paragraph">
                  <wp:posOffset>103989</wp:posOffset>
                </wp:positionV>
                <wp:extent cx="6094730" cy="1226820"/>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730" cy="1226820"/>
                          <a:chOff x="0" y="0"/>
                          <a:chExt cx="6094730" cy="1226820"/>
                        </a:xfrm>
                      </wpg:grpSpPr>
                      <wps:wsp>
                        <wps:cNvPr id="20" name="Graphic 20"/>
                        <wps:cNvSpPr/>
                        <wps:spPr>
                          <a:xfrm>
                            <a:off x="0" y="12"/>
                            <a:ext cx="6094730" cy="1226820"/>
                          </a:xfrm>
                          <a:custGeom>
                            <a:avLst/>
                            <a:gdLst/>
                            <a:ahLst/>
                            <a:cxnLst/>
                            <a:rect l="l" t="t" r="r" b="b"/>
                            <a:pathLst>
                              <a:path w="6094730" h="1226820">
                                <a:moveTo>
                                  <a:pt x="6094158" y="0"/>
                                </a:moveTo>
                                <a:lnTo>
                                  <a:pt x="6088126" y="0"/>
                                </a:lnTo>
                                <a:lnTo>
                                  <a:pt x="6096" y="0"/>
                                </a:lnTo>
                                <a:lnTo>
                                  <a:pt x="0" y="0"/>
                                </a:lnTo>
                                <a:lnTo>
                                  <a:pt x="0" y="6083"/>
                                </a:lnTo>
                                <a:lnTo>
                                  <a:pt x="0" y="1226807"/>
                                </a:lnTo>
                                <a:lnTo>
                                  <a:pt x="6096" y="1226807"/>
                                </a:lnTo>
                                <a:lnTo>
                                  <a:pt x="6096" y="6083"/>
                                </a:lnTo>
                                <a:lnTo>
                                  <a:pt x="6088075" y="6083"/>
                                </a:lnTo>
                                <a:lnTo>
                                  <a:pt x="6088075" y="1226807"/>
                                </a:lnTo>
                                <a:lnTo>
                                  <a:pt x="6094158" y="1226807"/>
                                </a:lnTo>
                                <a:lnTo>
                                  <a:pt x="6094158" y="6083"/>
                                </a:lnTo>
                                <a:lnTo>
                                  <a:pt x="6094158"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6095" y="6095"/>
                            <a:ext cx="6082030" cy="1221105"/>
                          </a:xfrm>
                          <a:prstGeom prst="rect">
                            <a:avLst/>
                          </a:prstGeom>
                        </wps:spPr>
                        <wps:txbx>
                          <w:txbxContent>
                            <w:p w14:paraId="50968D0E" w14:textId="77777777" w:rsidR="00161C10" w:rsidRDefault="00CE2C8C">
                              <w:pPr>
                                <w:spacing w:before="18" w:line="276" w:lineRule="auto"/>
                                <w:ind w:left="107" w:right="110"/>
                                <w:jc w:val="both"/>
                                <w:rPr>
                                  <w:rFonts w:ascii="Arial" w:hAnsi="Arial"/>
                                  <w:b/>
                                  <w:sz w:val="24"/>
                                </w:rPr>
                              </w:pPr>
                              <w:r>
                                <w:rPr>
                                  <w:rFonts w:ascii="Arial" w:hAnsi="Arial"/>
                                  <w:b/>
                                  <w:sz w:val="24"/>
                                </w:rPr>
                                <w:t xml:space="preserve">The Committee recommends that the EU uses all tools available, including the suspension of membership rights and funding, dialogue, and reports to the Court of Justice, </w:t>
                              </w:r>
                              <w:proofErr w:type="gramStart"/>
                              <w:r>
                                <w:rPr>
                                  <w:rFonts w:ascii="Arial" w:hAnsi="Arial"/>
                                  <w:b/>
                                  <w:sz w:val="24"/>
                                </w:rPr>
                                <w:t>in order to</w:t>
                              </w:r>
                              <w:proofErr w:type="gramEnd"/>
                              <w:r>
                                <w:rPr>
                                  <w:rFonts w:ascii="Arial" w:hAnsi="Arial"/>
                                  <w:b/>
                                  <w:sz w:val="24"/>
                                </w:rPr>
                                <w:t xml:space="preserve"> ensure deaths in institutions are appropriately investigated and that those responsible are brought to justice. Furthermore, the Commission should monitor the respect of victims’ rights, due process, and access to justice, including</w:t>
                              </w:r>
                              <w:r>
                                <w:rPr>
                                  <w:rFonts w:ascii="Arial" w:hAnsi="Arial"/>
                                  <w:b/>
                                  <w:spacing w:val="35"/>
                                  <w:sz w:val="24"/>
                                </w:rPr>
                                <w:t xml:space="preserve"> </w:t>
                              </w:r>
                              <w:r>
                                <w:rPr>
                                  <w:rFonts w:ascii="Arial" w:hAnsi="Arial"/>
                                  <w:b/>
                                  <w:sz w:val="24"/>
                                </w:rPr>
                                <w:t>access</w:t>
                              </w:r>
                              <w:r>
                                <w:rPr>
                                  <w:rFonts w:ascii="Arial" w:hAnsi="Arial"/>
                                  <w:b/>
                                  <w:spacing w:val="35"/>
                                  <w:sz w:val="24"/>
                                </w:rPr>
                                <w:t xml:space="preserve"> </w:t>
                              </w:r>
                              <w:r>
                                <w:rPr>
                                  <w:rFonts w:ascii="Arial" w:hAnsi="Arial"/>
                                  <w:b/>
                                  <w:sz w:val="24"/>
                                </w:rPr>
                                <w:t>to</w:t>
                              </w:r>
                              <w:r>
                                <w:rPr>
                                  <w:rFonts w:ascii="Arial" w:hAnsi="Arial"/>
                                  <w:b/>
                                  <w:spacing w:val="31"/>
                                  <w:sz w:val="24"/>
                                </w:rPr>
                                <w:t xml:space="preserve"> </w:t>
                              </w:r>
                              <w:r>
                                <w:rPr>
                                  <w:rFonts w:ascii="Arial" w:hAnsi="Arial"/>
                                  <w:b/>
                                  <w:sz w:val="24"/>
                                </w:rPr>
                                <w:t>remedies.</w:t>
                              </w:r>
                              <w:r>
                                <w:rPr>
                                  <w:rFonts w:ascii="Arial" w:hAnsi="Arial"/>
                                  <w:b/>
                                  <w:spacing w:val="33"/>
                                  <w:sz w:val="24"/>
                                </w:rPr>
                                <w:t xml:space="preserve"> </w:t>
                              </w:r>
                              <w:r>
                                <w:rPr>
                                  <w:rFonts w:ascii="Arial" w:hAnsi="Arial"/>
                                  <w:b/>
                                  <w:sz w:val="24"/>
                                </w:rPr>
                                <w:t>The</w:t>
                              </w:r>
                              <w:r>
                                <w:rPr>
                                  <w:rFonts w:ascii="Arial" w:hAnsi="Arial"/>
                                  <w:b/>
                                  <w:spacing w:val="33"/>
                                  <w:sz w:val="24"/>
                                </w:rPr>
                                <w:t xml:space="preserve"> </w:t>
                              </w:r>
                              <w:r>
                                <w:rPr>
                                  <w:rFonts w:ascii="Arial" w:hAnsi="Arial"/>
                                  <w:b/>
                                  <w:sz w:val="24"/>
                                </w:rPr>
                                <w:t>Committee</w:t>
                              </w:r>
                              <w:r>
                                <w:rPr>
                                  <w:rFonts w:ascii="Arial" w:hAnsi="Arial"/>
                                  <w:b/>
                                  <w:spacing w:val="35"/>
                                  <w:sz w:val="24"/>
                                </w:rPr>
                                <w:t xml:space="preserve"> </w:t>
                              </w:r>
                              <w:r>
                                <w:rPr>
                                  <w:rFonts w:ascii="Arial" w:hAnsi="Arial"/>
                                  <w:b/>
                                  <w:sz w:val="24"/>
                                </w:rPr>
                                <w:t>encourages</w:t>
                              </w:r>
                              <w:r>
                                <w:rPr>
                                  <w:rFonts w:ascii="Arial" w:hAnsi="Arial"/>
                                  <w:b/>
                                  <w:spacing w:val="33"/>
                                  <w:sz w:val="24"/>
                                </w:rPr>
                                <w:t xml:space="preserve"> </w:t>
                              </w:r>
                              <w:r>
                                <w:rPr>
                                  <w:rFonts w:ascii="Arial" w:hAnsi="Arial"/>
                                  <w:b/>
                                  <w:sz w:val="24"/>
                                </w:rPr>
                                <w:t>the</w:t>
                              </w:r>
                              <w:r>
                                <w:rPr>
                                  <w:rFonts w:ascii="Arial" w:hAnsi="Arial"/>
                                  <w:b/>
                                  <w:spacing w:val="35"/>
                                  <w:sz w:val="24"/>
                                </w:rPr>
                                <w:t xml:space="preserve"> </w:t>
                              </w:r>
                              <w:r>
                                <w:rPr>
                                  <w:rFonts w:ascii="Arial" w:hAnsi="Arial"/>
                                  <w:b/>
                                  <w:sz w:val="24"/>
                                </w:rPr>
                                <w:t>European</w:t>
                              </w:r>
                              <w:r>
                                <w:rPr>
                                  <w:rFonts w:ascii="Arial" w:hAnsi="Arial"/>
                                  <w:b/>
                                  <w:spacing w:val="32"/>
                                  <w:sz w:val="24"/>
                                </w:rPr>
                                <w:t xml:space="preserve"> </w:t>
                              </w:r>
                              <w:r>
                                <w:rPr>
                                  <w:rFonts w:ascii="Arial" w:hAnsi="Arial"/>
                                  <w:b/>
                                  <w:sz w:val="24"/>
                                </w:rPr>
                                <w:t>Public</w:t>
                              </w:r>
                            </w:p>
                          </w:txbxContent>
                        </wps:txbx>
                        <wps:bodyPr wrap="square" lIns="0" tIns="0" rIns="0" bIns="0" rtlCol="0">
                          <a:noAutofit/>
                        </wps:bodyPr>
                      </wps:wsp>
                    </wpg:wgp>
                  </a:graphicData>
                </a:graphic>
              </wp:anchor>
            </w:drawing>
          </mc:Choice>
          <mc:Fallback>
            <w:pict>
              <v:group w14:anchorId="4F0D6C0B" id="Group 19" o:spid="_x0000_s1038" style="position:absolute;margin-left:66.15pt;margin-top:8.2pt;width:479.9pt;height:96.6pt;z-index:-15722496;mso-wrap-distance-left:0;mso-wrap-distance-right:0;mso-position-horizontal-relative:page;mso-position-vertical-relative:text" coordsize="60947,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">
                <v:shape id="Graphic 20" o:spid="_x0000_s1039" style="position:absolute;width:60947;height:12268;visibility:visible;mso-wrap-style:square;v-text-anchor:top" coordsize="6094730,122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" path="m6094158,r-6032,l6096,,,,,6083,,1226807r6096,l6096,6083r6081979,l6088075,1226807r6083,l6094158,6083r,-6083xe" fillcolor="black" stroked="f">
                  <v:path arrowok="t"/>
                </v:shape>
                <v:shape id="Textbox 21" o:spid="_x0000_s1040" type="#_x0000_t202" style="position:absolute;left:60;top:60;width:60821;height:1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50968D0E" w14:textId="77777777" w:rsidR="00161C10" w:rsidRDefault="00CE2C8C">
                        <w:pPr>
                          <w:spacing w:before="18" w:line="276" w:lineRule="auto"/>
                          <w:ind w:left="107" w:right="110"/>
                          <w:jc w:val="both"/>
                          <w:rPr>
                            <w:rFonts w:ascii="Arial" w:hAnsi="Arial"/>
                            <w:b/>
                            <w:sz w:val="24"/>
                          </w:rPr>
                        </w:pPr>
                        <w:r>
                          <w:rPr>
                            <w:rFonts w:ascii="Arial" w:hAnsi="Arial"/>
                            <w:b/>
                            <w:sz w:val="24"/>
                          </w:rPr>
                          <w:t xml:space="preserve">The Committee recommends that the EU uses all tools available, including the suspension of membership rights and funding, dialogue, and reports to the Court of Justice, </w:t>
                        </w:r>
                        <w:proofErr w:type="gramStart"/>
                        <w:r>
                          <w:rPr>
                            <w:rFonts w:ascii="Arial" w:hAnsi="Arial"/>
                            <w:b/>
                            <w:sz w:val="24"/>
                          </w:rPr>
                          <w:t>in order to</w:t>
                        </w:r>
                        <w:proofErr w:type="gramEnd"/>
                        <w:r>
                          <w:rPr>
                            <w:rFonts w:ascii="Arial" w:hAnsi="Arial"/>
                            <w:b/>
                            <w:sz w:val="24"/>
                          </w:rPr>
                          <w:t xml:space="preserve"> ensure deaths in institutions are appropriately investigated and that those responsible are brought to justice. Furthermore, the Commission should monitor the respect of victims’ rights, due process, and access to justice, including</w:t>
                        </w:r>
                        <w:r>
                          <w:rPr>
                            <w:rFonts w:ascii="Arial" w:hAnsi="Arial"/>
                            <w:b/>
                            <w:spacing w:val="35"/>
                            <w:sz w:val="24"/>
                          </w:rPr>
                          <w:t xml:space="preserve"> </w:t>
                        </w:r>
                        <w:r>
                          <w:rPr>
                            <w:rFonts w:ascii="Arial" w:hAnsi="Arial"/>
                            <w:b/>
                            <w:sz w:val="24"/>
                          </w:rPr>
                          <w:t>access</w:t>
                        </w:r>
                        <w:r>
                          <w:rPr>
                            <w:rFonts w:ascii="Arial" w:hAnsi="Arial"/>
                            <w:b/>
                            <w:spacing w:val="35"/>
                            <w:sz w:val="24"/>
                          </w:rPr>
                          <w:t xml:space="preserve"> </w:t>
                        </w:r>
                        <w:r>
                          <w:rPr>
                            <w:rFonts w:ascii="Arial" w:hAnsi="Arial"/>
                            <w:b/>
                            <w:sz w:val="24"/>
                          </w:rPr>
                          <w:t>to</w:t>
                        </w:r>
                        <w:r>
                          <w:rPr>
                            <w:rFonts w:ascii="Arial" w:hAnsi="Arial"/>
                            <w:b/>
                            <w:spacing w:val="31"/>
                            <w:sz w:val="24"/>
                          </w:rPr>
                          <w:t xml:space="preserve"> </w:t>
                        </w:r>
                        <w:r>
                          <w:rPr>
                            <w:rFonts w:ascii="Arial" w:hAnsi="Arial"/>
                            <w:b/>
                            <w:sz w:val="24"/>
                          </w:rPr>
                          <w:t>remedies.</w:t>
                        </w:r>
                        <w:r>
                          <w:rPr>
                            <w:rFonts w:ascii="Arial" w:hAnsi="Arial"/>
                            <w:b/>
                            <w:spacing w:val="33"/>
                            <w:sz w:val="24"/>
                          </w:rPr>
                          <w:t xml:space="preserve"> </w:t>
                        </w:r>
                        <w:r>
                          <w:rPr>
                            <w:rFonts w:ascii="Arial" w:hAnsi="Arial"/>
                            <w:b/>
                            <w:sz w:val="24"/>
                          </w:rPr>
                          <w:t>The</w:t>
                        </w:r>
                        <w:r>
                          <w:rPr>
                            <w:rFonts w:ascii="Arial" w:hAnsi="Arial"/>
                            <w:b/>
                            <w:spacing w:val="33"/>
                            <w:sz w:val="24"/>
                          </w:rPr>
                          <w:t xml:space="preserve"> </w:t>
                        </w:r>
                        <w:r>
                          <w:rPr>
                            <w:rFonts w:ascii="Arial" w:hAnsi="Arial"/>
                            <w:b/>
                            <w:sz w:val="24"/>
                          </w:rPr>
                          <w:t>Committee</w:t>
                        </w:r>
                        <w:r>
                          <w:rPr>
                            <w:rFonts w:ascii="Arial" w:hAnsi="Arial"/>
                            <w:b/>
                            <w:spacing w:val="35"/>
                            <w:sz w:val="24"/>
                          </w:rPr>
                          <w:t xml:space="preserve"> </w:t>
                        </w:r>
                        <w:r>
                          <w:rPr>
                            <w:rFonts w:ascii="Arial" w:hAnsi="Arial"/>
                            <w:b/>
                            <w:sz w:val="24"/>
                          </w:rPr>
                          <w:t>encourages</w:t>
                        </w:r>
                        <w:r>
                          <w:rPr>
                            <w:rFonts w:ascii="Arial" w:hAnsi="Arial"/>
                            <w:b/>
                            <w:spacing w:val="33"/>
                            <w:sz w:val="24"/>
                          </w:rPr>
                          <w:t xml:space="preserve"> </w:t>
                        </w:r>
                        <w:r>
                          <w:rPr>
                            <w:rFonts w:ascii="Arial" w:hAnsi="Arial"/>
                            <w:b/>
                            <w:sz w:val="24"/>
                          </w:rPr>
                          <w:t>the</w:t>
                        </w:r>
                        <w:r>
                          <w:rPr>
                            <w:rFonts w:ascii="Arial" w:hAnsi="Arial"/>
                            <w:b/>
                            <w:spacing w:val="35"/>
                            <w:sz w:val="24"/>
                          </w:rPr>
                          <w:t xml:space="preserve"> </w:t>
                        </w:r>
                        <w:r>
                          <w:rPr>
                            <w:rFonts w:ascii="Arial" w:hAnsi="Arial"/>
                            <w:b/>
                            <w:sz w:val="24"/>
                          </w:rPr>
                          <w:t>European</w:t>
                        </w:r>
                        <w:r>
                          <w:rPr>
                            <w:rFonts w:ascii="Arial" w:hAnsi="Arial"/>
                            <w:b/>
                            <w:spacing w:val="32"/>
                            <w:sz w:val="24"/>
                          </w:rPr>
                          <w:t xml:space="preserve"> </w:t>
                        </w:r>
                        <w:r>
                          <w:rPr>
                            <w:rFonts w:ascii="Arial" w:hAnsi="Arial"/>
                            <w:b/>
                            <w:sz w:val="24"/>
                          </w:rPr>
                          <w:t>Public</w:t>
                        </w:r>
                      </w:p>
                    </w:txbxContent>
                  </v:textbox>
                </v:shape>
                <w10:wrap type="topAndBottom" anchorx="page"/>
              </v:group>
            </w:pict>
          </mc:Fallback>
        </mc:AlternateContent>
      </w:r>
      <w:r>
        <w:rPr>
          <w:rFonts w:ascii="Arial"/>
          <w:b/>
          <w:i/>
          <w:noProof/>
          <w:sz w:val="12"/>
        </w:rPr>
        <mc:AlternateContent>
          <mc:Choice Requires="wps">
            <w:drawing>
              <wp:anchor distT="0" distB="0" distL="0" distR="0" simplePos="0" relativeHeight="487594496" behindDoc="1" locked="0" layoutInCell="1" allowOverlap="1" wp14:anchorId="2822E94A" wp14:editId="5E5C8F20">
                <wp:simplePos x="0" y="0"/>
                <wp:positionH relativeFrom="page">
                  <wp:posOffset>914704</wp:posOffset>
                </wp:positionH>
                <wp:positionV relativeFrom="paragraph">
                  <wp:posOffset>1565505</wp:posOffset>
                </wp:positionV>
                <wp:extent cx="1829435"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5138C7" id="Graphic 22" o:spid="_x0000_s1026" style="position:absolute;margin-left:1in;margin-top:123.25pt;width:144.0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" path="m1829054,l,,,7620r1829054,l1829054,xe" fillcolor="black" stroked="f">
                <v:path arrowok="t"/>
                <w10:wrap type="topAndBottom" anchorx="page"/>
              </v:shape>
            </w:pict>
          </mc:Fallback>
        </mc:AlternateContent>
      </w:r>
    </w:p>
    <w:p w14:paraId="3CB11679" w14:textId="77777777" w:rsidR="00161C10" w:rsidRDefault="00161C10">
      <w:pPr>
        <w:pStyle w:val="BodyText"/>
        <w:spacing w:before="115"/>
        <w:rPr>
          <w:rFonts w:ascii="Arial"/>
          <w:b/>
          <w:i/>
          <w:sz w:val="20"/>
        </w:rPr>
      </w:pPr>
    </w:p>
    <w:p w14:paraId="70B7FEBD" w14:textId="77777777" w:rsidR="00161C10" w:rsidRDefault="00CE2C8C">
      <w:pPr>
        <w:spacing w:before="91"/>
        <w:ind w:left="360" w:right="377"/>
        <w:rPr>
          <w:sz w:val="20"/>
        </w:rPr>
      </w:pPr>
      <w:bookmarkStart w:id="4" w:name="_bookmark4"/>
      <w:bookmarkEnd w:id="4"/>
      <w:r>
        <w:rPr>
          <w:position w:val="6"/>
          <w:sz w:val="13"/>
        </w:rPr>
        <w:t>5</w:t>
      </w:r>
      <w:r>
        <w:rPr>
          <w:spacing w:val="23"/>
          <w:position w:val="6"/>
          <w:sz w:val="13"/>
        </w:rPr>
        <w:t xml:space="preserve"> </w:t>
      </w:r>
      <w:r>
        <w:rPr>
          <w:sz w:val="20"/>
        </w:rPr>
        <w:t>Article 7 of the Treaty on European Union allows the EU to suspend membership rights, such as voting rights</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Council,</w:t>
      </w:r>
      <w:r>
        <w:rPr>
          <w:spacing w:val="-4"/>
          <w:sz w:val="20"/>
        </w:rPr>
        <w:t xml:space="preserve"> </w:t>
      </w:r>
      <w:r>
        <w:rPr>
          <w:sz w:val="20"/>
        </w:rPr>
        <w:t>when a</w:t>
      </w:r>
      <w:r>
        <w:rPr>
          <w:spacing w:val="-4"/>
          <w:sz w:val="20"/>
        </w:rPr>
        <w:t xml:space="preserve"> </w:t>
      </w:r>
      <w:r>
        <w:rPr>
          <w:sz w:val="20"/>
        </w:rPr>
        <w:t>Member</w:t>
      </w:r>
      <w:r>
        <w:rPr>
          <w:spacing w:val="-1"/>
          <w:sz w:val="20"/>
        </w:rPr>
        <w:t xml:space="preserve"> </w:t>
      </w:r>
      <w:r>
        <w:rPr>
          <w:sz w:val="20"/>
        </w:rPr>
        <w:t>State</w:t>
      </w:r>
      <w:r>
        <w:rPr>
          <w:spacing w:val="-2"/>
          <w:sz w:val="20"/>
        </w:rPr>
        <w:t xml:space="preserve"> </w:t>
      </w:r>
      <w:r>
        <w:rPr>
          <w:sz w:val="20"/>
        </w:rPr>
        <w:t>is</w:t>
      </w:r>
      <w:r>
        <w:rPr>
          <w:spacing w:val="-3"/>
          <w:sz w:val="20"/>
        </w:rPr>
        <w:t xml:space="preserve"> </w:t>
      </w:r>
      <w:r>
        <w:rPr>
          <w:sz w:val="20"/>
        </w:rPr>
        <w:t>seriously</w:t>
      </w:r>
      <w:r>
        <w:rPr>
          <w:spacing w:val="-3"/>
          <w:sz w:val="20"/>
        </w:rPr>
        <w:t xml:space="preserve"> </w:t>
      </w:r>
      <w:r>
        <w:rPr>
          <w:sz w:val="20"/>
        </w:rPr>
        <w:t>and</w:t>
      </w:r>
      <w:r>
        <w:rPr>
          <w:spacing w:val="-4"/>
          <w:sz w:val="20"/>
        </w:rPr>
        <w:t xml:space="preserve"> </w:t>
      </w:r>
      <w:r>
        <w:rPr>
          <w:sz w:val="20"/>
        </w:rPr>
        <w:t>persistently</w:t>
      </w:r>
      <w:r>
        <w:rPr>
          <w:spacing w:val="-3"/>
          <w:sz w:val="20"/>
        </w:rPr>
        <w:t xml:space="preserve"> </w:t>
      </w:r>
      <w:r>
        <w:rPr>
          <w:sz w:val="20"/>
        </w:rPr>
        <w:t>breaching</w:t>
      </w:r>
      <w:r>
        <w:rPr>
          <w:spacing w:val="-4"/>
          <w:sz w:val="20"/>
        </w:rPr>
        <w:t xml:space="preserve"> </w:t>
      </w:r>
      <w:r>
        <w:rPr>
          <w:sz w:val="20"/>
        </w:rPr>
        <w:t>the</w:t>
      </w:r>
      <w:r>
        <w:rPr>
          <w:spacing w:val="-2"/>
          <w:sz w:val="20"/>
        </w:rPr>
        <w:t xml:space="preserve"> </w:t>
      </w:r>
      <w:r>
        <w:rPr>
          <w:sz w:val="20"/>
        </w:rPr>
        <w:t>principles</w:t>
      </w:r>
      <w:r>
        <w:rPr>
          <w:spacing w:val="-3"/>
          <w:sz w:val="20"/>
        </w:rPr>
        <w:t xml:space="preserve"> </w:t>
      </w:r>
      <w:r>
        <w:rPr>
          <w:sz w:val="20"/>
        </w:rPr>
        <w:t>on</w:t>
      </w:r>
      <w:r>
        <w:rPr>
          <w:spacing w:val="-2"/>
          <w:sz w:val="20"/>
        </w:rPr>
        <w:t xml:space="preserve"> </w:t>
      </w:r>
      <w:r>
        <w:rPr>
          <w:sz w:val="20"/>
        </w:rPr>
        <w:t>which the EU is funded. According to article 2 of the Treaty, these are respect for human dignity, freedom, democracy, equality, the rule of law and respect for fundamental rights, including the rights of persons belonging to minorities.</w:t>
      </w:r>
    </w:p>
    <w:p w14:paraId="5DB4903F" w14:textId="77777777" w:rsidR="00161C10" w:rsidRDefault="00161C10">
      <w:pPr>
        <w:rPr>
          <w:sz w:val="20"/>
        </w:rPr>
        <w:sectPr w:rsidR="00161C10">
          <w:pgSz w:w="12240" w:h="15840"/>
          <w:pgMar w:top="1360" w:right="1080" w:bottom="1460" w:left="1080" w:header="0" w:footer="1274" w:gutter="0"/>
          <w:cols w:space="720"/>
        </w:sectPr>
      </w:pPr>
    </w:p>
    <w:p w14:paraId="730E96D4" w14:textId="77777777" w:rsidR="00161C10" w:rsidRDefault="00CE2C8C">
      <w:pPr>
        <w:pStyle w:val="BodyText"/>
        <w:ind w:left="242"/>
        <w:rPr>
          <w:sz w:val="20"/>
        </w:rPr>
      </w:pPr>
      <w:r>
        <w:rPr>
          <w:noProof/>
          <w:sz w:val="20"/>
        </w:rPr>
        <w:lastRenderedPageBreak/>
        <mc:AlternateContent>
          <mc:Choice Requires="wpg">
            <w:drawing>
              <wp:inline distT="0" distB="0" distL="0" distR="0" wp14:anchorId="1FEBB743" wp14:editId="30E249C0">
                <wp:extent cx="6094730" cy="622300"/>
                <wp:effectExtent l="0" t="0" r="0" b="635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730" cy="622300"/>
                          <a:chOff x="0" y="0"/>
                          <a:chExt cx="6094730" cy="622300"/>
                        </a:xfrm>
                      </wpg:grpSpPr>
                      <wps:wsp>
                        <wps:cNvPr id="24" name="Graphic 24"/>
                        <wps:cNvSpPr/>
                        <wps:spPr>
                          <a:xfrm>
                            <a:off x="0" y="0"/>
                            <a:ext cx="6094730" cy="622300"/>
                          </a:xfrm>
                          <a:custGeom>
                            <a:avLst/>
                            <a:gdLst/>
                            <a:ahLst/>
                            <a:cxnLst/>
                            <a:rect l="l" t="t" r="r" b="b"/>
                            <a:pathLst>
                              <a:path w="6094730" h="622300">
                                <a:moveTo>
                                  <a:pt x="6094158" y="0"/>
                                </a:moveTo>
                                <a:lnTo>
                                  <a:pt x="6088075" y="0"/>
                                </a:lnTo>
                                <a:lnTo>
                                  <a:pt x="6088075" y="201472"/>
                                </a:lnTo>
                                <a:lnTo>
                                  <a:pt x="6088075" y="402640"/>
                                </a:lnTo>
                                <a:lnTo>
                                  <a:pt x="6088075" y="616000"/>
                                </a:lnTo>
                                <a:lnTo>
                                  <a:pt x="6096" y="616000"/>
                                </a:lnTo>
                                <a:lnTo>
                                  <a:pt x="6096" y="402640"/>
                                </a:lnTo>
                                <a:lnTo>
                                  <a:pt x="6096" y="201472"/>
                                </a:lnTo>
                                <a:lnTo>
                                  <a:pt x="6096" y="0"/>
                                </a:lnTo>
                                <a:lnTo>
                                  <a:pt x="0" y="0"/>
                                </a:lnTo>
                                <a:lnTo>
                                  <a:pt x="0" y="201472"/>
                                </a:lnTo>
                                <a:lnTo>
                                  <a:pt x="0" y="402640"/>
                                </a:lnTo>
                                <a:lnTo>
                                  <a:pt x="0" y="616000"/>
                                </a:lnTo>
                                <a:lnTo>
                                  <a:pt x="0" y="622096"/>
                                </a:lnTo>
                                <a:lnTo>
                                  <a:pt x="6096" y="622096"/>
                                </a:lnTo>
                                <a:lnTo>
                                  <a:pt x="6088075" y="622096"/>
                                </a:lnTo>
                                <a:lnTo>
                                  <a:pt x="6094158" y="622096"/>
                                </a:lnTo>
                                <a:lnTo>
                                  <a:pt x="6094158" y="616000"/>
                                </a:lnTo>
                                <a:lnTo>
                                  <a:pt x="6094158" y="402640"/>
                                </a:lnTo>
                                <a:lnTo>
                                  <a:pt x="6094158" y="201472"/>
                                </a:lnTo>
                                <a:lnTo>
                                  <a:pt x="6094158" y="0"/>
                                </a:lnTo>
                                <a:close/>
                              </a:path>
                            </a:pathLst>
                          </a:custGeom>
                          <a:solidFill>
                            <a:srgbClr val="000000"/>
                          </a:solidFill>
                        </wps:spPr>
                        <wps:bodyPr wrap="square" lIns="0" tIns="0" rIns="0" bIns="0" rtlCol="0">
                          <a:prstTxWarp prst="textNoShape">
                            <a:avLst/>
                          </a:prstTxWarp>
                          <a:noAutofit/>
                        </wps:bodyPr>
                      </wps:wsp>
                      <wps:wsp>
                        <wps:cNvPr id="25" name="Textbox 25"/>
                        <wps:cNvSpPr txBox="1"/>
                        <wps:spPr>
                          <a:xfrm>
                            <a:off x="6095" y="0"/>
                            <a:ext cx="6082030" cy="616585"/>
                          </a:xfrm>
                          <a:prstGeom prst="rect">
                            <a:avLst/>
                          </a:prstGeom>
                        </wps:spPr>
                        <wps:txbx>
                          <w:txbxContent>
                            <w:p w14:paraId="49B7D3A9" w14:textId="77777777" w:rsidR="00161C10" w:rsidRDefault="00CE2C8C">
                              <w:pPr>
                                <w:spacing w:before="1" w:line="276" w:lineRule="auto"/>
                                <w:ind w:left="107" w:right="113"/>
                                <w:jc w:val="both"/>
                                <w:rPr>
                                  <w:rFonts w:ascii="Arial" w:hAnsi="Arial"/>
                                  <w:b/>
                                  <w:sz w:val="24"/>
                                </w:rPr>
                              </w:pPr>
                              <w:r>
                                <w:rPr>
                                  <w:rFonts w:ascii="Arial" w:hAnsi="Arial"/>
                                  <w:b/>
                                  <w:sz w:val="24"/>
                                </w:rPr>
                                <w:t>Prosecutor’s</w:t>
                              </w:r>
                              <w:r>
                                <w:rPr>
                                  <w:rFonts w:ascii="Arial" w:hAnsi="Arial"/>
                                  <w:b/>
                                  <w:spacing w:val="-11"/>
                                  <w:sz w:val="24"/>
                                </w:rPr>
                                <w:t xml:space="preserve"> </w:t>
                              </w:r>
                              <w:r>
                                <w:rPr>
                                  <w:rFonts w:ascii="Arial" w:hAnsi="Arial"/>
                                  <w:b/>
                                  <w:sz w:val="24"/>
                                </w:rPr>
                                <w:t>Office</w:t>
                              </w:r>
                              <w:r>
                                <w:rPr>
                                  <w:rFonts w:ascii="Arial" w:hAnsi="Arial"/>
                                  <w:b/>
                                  <w:spacing w:val="-11"/>
                                  <w:sz w:val="24"/>
                                </w:rPr>
                                <w:t xml:space="preserve"> </w:t>
                              </w:r>
                              <w:r>
                                <w:rPr>
                                  <w:rFonts w:ascii="Arial" w:hAnsi="Arial"/>
                                  <w:b/>
                                  <w:sz w:val="24"/>
                                </w:rPr>
                                <w:t>to</w:t>
                              </w:r>
                              <w:r>
                                <w:rPr>
                                  <w:rFonts w:ascii="Arial" w:hAnsi="Arial"/>
                                  <w:b/>
                                  <w:spacing w:val="-12"/>
                                  <w:sz w:val="24"/>
                                </w:rPr>
                                <w:t xml:space="preserve"> </w:t>
                              </w:r>
                              <w:r>
                                <w:rPr>
                                  <w:rFonts w:ascii="Arial" w:hAnsi="Arial"/>
                                  <w:b/>
                                  <w:sz w:val="24"/>
                                </w:rPr>
                                <w:t>investigate</w:t>
                              </w:r>
                              <w:r>
                                <w:rPr>
                                  <w:rFonts w:ascii="Arial" w:hAnsi="Arial"/>
                                  <w:b/>
                                  <w:spacing w:val="-11"/>
                                  <w:sz w:val="24"/>
                                </w:rPr>
                                <w:t xml:space="preserve"> </w:t>
                              </w:r>
                              <w:r>
                                <w:rPr>
                                  <w:rFonts w:ascii="Arial" w:hAnsi="Arial"/>
                                  <w:b/>
                                  <w:sz w:val="24"/>
                                </w:rPr>
                                <w:t>investments</w:t>
                              </w:r>
                              <w:r>
                                <w:rPr>
                                  <w:rFonts w:ascii="Arial" w:hAnsi="Arial"/>
                                  <w:b/>
                                  <w:spacing w:val="-11"/>
                                  <w:sz w:val="24"/>
                                </w:rPr>
                                <w:t xml:space="preserve"> </w:t>
                              </w:r>
                              <w:r>
                                <w:rPr>
                                  <w:rFonts w:ascii="Arial" w:hAnsi="Arial"/>
                                  <w:b/>
                                  <w:sz w:val="24"/>
                                </w:rPr>
                                <w:t>into</w:t>
                              </w:r>
                              <w:r>
                                <w:rPr>
                                  <w:rFonts w:ascii="Arial" w:hAnsi="Arial"/>
                                  <w:b/>
                                  <w:spacing w:val="-13"/>
                                  <w:sz w:val="24"/>
                                </w:rPr>
                                <w:t xml:space="preserve"> </w:t>
                              </w:r>
                              <w:r>
                                <w:rPr>
                                  <w:rFonts w:ascii="Arial" w:hAnsi="Arial"/>
                                  <w:b/>
                                  <w:sz w:val="24"/>
                                </w:rPr>
                                <w:t>residential</w:t>
                              </w:r>
                              <w:r>
                                <w:rPr>
                                  <w:rFonts w:ascii="Arial" w:hAnsi="Arial"/>
                                  <w:b/>
                                  <w:spacing w:val="-14"/>
                                  <w:sz w:val="24"/>
                                </w:rPr>
                                <w:t xml:space="preserve"> </w:t>
                              </w:r>
                              <w:r>
                                <w:rPr>
                                  <w:rFonts w:ascii="Arial" w:hAnsi="Arial"/>
                                  <w:b/>
                                  <w:sz w:val="24"/>
                                </w:rPr>
                                <w:t>care</w:t>
                              </w:r>
                              <w:r>
                                <w:rPr>
                                  <w:rFonts w:ascii="Arial" w:hAnsi="Arial"/>
                                  <w:b/>
                                  <w:spacing w:val="-11"/>
                                  <w:sz w:val="24"/>
                                </w:rPr>
                                <w:t xml:space="preserve"> </w:t>
                              </w:r>
                              <w:r>
                                <w:rPr>
                                  <w:rFonts w:ascii="Arial" w:hAnsi="Arial"/>
                                  <w:b/>
                                  <w:sz w:val="24"/>
                                </w:rPr>
                                <w:t>facilities</w:t>
                              </w:r>
                              <w:r>
                                <w:rPr>
                                  <w:rFonts w:ascii="Arial" w:hAnsi="Arial"/>
                                  <w:b/>
                                  <w:spacing w:val="-11"/>
                                  <w:sz w:val="24"/>
                                </w:rPr>
                                <w:t xml:space="preserve"> </w:t>
                              </w:r>
                              <w:r>
                                <w:rPr>
                                  <w:rFonts w:ascii="Arial" w:hAnsi="Arial"/>
                                  <w:b/>
                                  <w:sz w:val="24"/>
                                </w:rPr>
                                <w:t>by</w:t>
                              </w:r>
                              <w:r>
                                <w:rPr>
                                  <w:rFonts w:ascii="Arial" w:hAnsi="Arial"/>
                                  <w:b/>
                                  <w:spacing w:val="-12"/>
                                  <w:sz w:val="24"/>
                                </w:rPr>
                                <w:t xml:space="preserve"> </w:t>
                              </w:r>
                              <w:r>
                                <w:rPr>
                                  <w:rFonts w:ascii="Arial" w:hAnsi="Arial"/>
                                  <w:b/>
                                  <w:sz w:val="24"/>
                                </w:rPr>
                                <w:t>the Member States, especially in those countries with significant investments into such services.</w:t>
                              </w:r>
                            </w:p>
                          </w:txbxContent>
                        </wps:txbx>
                        <wps:bodyPr wrap="square" lIns="0" tIns="0" rIns="0" bIns="0" rtlCol="0">
                          <a:noAutofit/>
                        </wps:bodyPr>
                      </wps:wsp>
                    </wpg:wgp>
                  </a:graphicData>
                </a:graphic>
              </wp:inline>
            </w:drawing>
          </mc:Choice>
          <mc:Fallback>
            <w:pict>
              <v:group w14:anchorId="1FEBB743" id="Group 23" o:spid="_x0000_s1041" style="width:479.9pt;height:49pt;mso-position-horizontal-relative:char;mso-position-vertical-relative:line" coordsize="60947,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">
                <v:shape id="Graphic 24" o:spid="_x0000_s1042" style="position:absolute;width:60947;height:6223;visibility:visible;mso-wrap-style:square;v-text-anchor:top" coordsize="6094730,62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" path="m6094158,r-6083,l6088075,201472r,201168l6088075,616000r-6081979,l6096,402640r,-201168l6096,,,,,201472,,402640,,616000r,6096l6096,622096r6081979,l6094158,622096r,-6096l6094158,402640r,-201168l6094158,xe" fillcolor="black" stroked="f">
                  <v:path arrowok="t"/>
                </v:shape>
                <v:shape id="Textbox 25" o:spid="_x0000_s1043" type="#_x0000_t202" style="position:absolute;left:60;width:60821;height:6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9B7D3A9" w14:textId="77777777" w:rsidR="00161C10" w:rsidRDefault="00CE2C8C">
                        <w:pPr>
                          <w:spacing w:before="1" w:line="276" w:lineRule="auto"/>
                          <w:ind w:left="107" w:right="113"/>
                          <w:jc w:val="both"/>
                          <w:rPr>
                            <w:rFonts w:ascii="Arial" w:hAnsi="Arial"/>
                            <w:b/>
                            <w:sz w:val="24"/>
                          </w:rPr>
                        </w:pPr>
                        <w:r>
                          <w:rPr>
                            <w:rFonts w:ascii="Arial" w:hAnsi="Arial"/>
                            <w:b/>
                            <w:sz w:val="24"/>
                          </w:rPr>
                          <w:t>Prosecutor’s</w:t>
                        </w:r>
                        <w:r>
                          <w:rPr>
                            <w:rFonts w:ascii="Arial" w:hAnsi="Arial"/>
                            <w:b/>
                            <w:spacing w:val="-11"/>
                            <w:sz w:val="24"/>
                          </w:rPr>
                          <w:t xml:space="preserve"> </w:t>
                        </w:r>
                        <w:r>
                          <w:rPr>
                            <w:rFonts w:ascii="Arial" w:hAnsi="Arial"/>
                            <w:b/>
                            <w:sz w:val="24"/>
                          </w:rPr>
                          <w:t>Office</w:t>
                        </w:r>
                        <w:r>
                          <w:rPr>
                            <w:rFonts w:ascii="Arial" w:hAnsi="Arial"/>
                            <w:b/>
                            <w:spacing w:val="-11"/>
                            <w:sz w:val="24"/>
                          </w:rPr>
                          <w:t xml:space="preserve"> </w:t>
                        </w:r>
                        <w:r>
                          <w:rPr>
                            <w:rFonts w:ascii="Arial" w:hAnsi="Arial"/>
                            <w:b/>
                            <w:sz w:val="24"/>
                          </w:rPr>
                          <w:t>to</w:t>
                        </w:r>
                        <w:r>
                          <w:rPr>
                            <w:rFonts w:ascii="Arial" w:hAnsi="Arial"/>
                            <w:b/>
                            <w:spacing w:val="-12"/>
                            <w:sz w:val="24"/>
                          </w:rPr>
                          <w:t xml:space="preserve"> </w:t>
                        </w:r>
                        <w:r>
                          <w:rPr>
                            <w:rFonts w:ascii="Arial" w:hAnsi="Arial"/>
                            <w:b/>
                            <w:sz w:val="24"/>
                          </w:rPr>
                          <w:t>investigate</w:t>
                        </w:r>
                        <w:r>
                          <w:rPr>
                            <w:rFonts w:ascii="Arial" w:hAnsi="Arial"/>
                            <w:b/>
                            <w:spacing w:val="-11"/>
                            <w:sz w:val="24"/>
                          </w:rPr>
                          <w:t xml:space="preserve"> </w:t>
                        </w:r>
                        <w:r>
                          <w:rPr>
                            <w:rFonts w:ascii="Arial" w:hAnsi="Arial"/>
                            <w:b/>
                            <w:sz w:val="24"/>
                          </w:rPr>
                          <w:t>investments</w:t>
                        </w:r>
                        <w:r>
                          <w:rPr>
                            <w:rFonts w:ascii="Arial" w:hAnsi="Arial"/>
                            <w:b/>
                            <w:spacing w:val="-11"/>
                            <w:sz w:val="24"/>
                          </w:rPr>
                          <w:t xml:space="preserve"> </w:t>
                        </w:r>
                        <w:r>
                          <w:rPr>
                            <w:rFonts w:ascii="Arial" w:hAnsi="Arial"/>
                            <w:b/>
                            <w:sz w:val="24"/>
                          </w:rPr>
                          <w:t>into</w:t>
                        </w:r>
                        <w:r>
                          <w:rPr>
                            <w:rFonts w:ascii="Arial" w:hAnsi="Arial"/>
                            <w:b/>
                            <w:spacing w:val="-13"/>
                            <w:sz w:val="24"/>
                          </w:rPr>
                          <w:t xml:space="preserve"> </w:t>
                        </w:r>
                        <w:r>
                          <w:rPr>
                            <w:rFonts w:ascii="Arial" w:hAnsi="Arial"/>
                            <w:b/>
                            <w:sz w:val="24"/>
                          </w:rPr>
                          <w:t>residential</w:t>
                        </w:r>
                        <w:r>
                          <w:rPr>
                            <w:rFonts w:ascii="Arial" w:hAnsi="Arial"/>
                            <w:b/>
                            <w:spacing w:val="-14"/>
                            <w:sz w:val="24"/>
                          </w:rPr>
                          <w:t xml:space="preserve"> </w:t>
                        </w:r>
                        <w:r>
                          <w:rPr>
                            <w:rFonts w:ascii="Arial" w:hAnsi="Arial"/>
                            <w:b/>
                            <w:sz w:val="24"/>
                          </w:rPr>
                          <w:t>care</w:t>
                        </w:r>
                        <w:r>
                          <w:rPr>
                            <w:rFonts w:ascii="Arial" w:hAnsi="Arial"/>
                            <w:b/>
                            <w:spacing w:val="-11"/>
                            <w:sz w:val="24"/>
                          </w:rPr>
                          <w:t xml:space="preserve"> </w:t>
                        </w:r>
                        <w:r>
                          <w:rPr>
                            <w:rFonts w:ascii="Arial" w:hAnsi="Arial"/>
                            <w:b/>
                            <w:sz w:val="24"/>
                          </w:rPr>
                          <w:t>facilities</w:t>
                        </w:r>
                        <w:r>
                          <w:rPr>
                            <w:rFonts w:ascii="Arial" w:hAnsi="Arial"/>
                            <w:b/>
                            <w:spacing w:val="-11"/>
                            <w:sz w:val="24"/>
                          </w:rPr>
                          <w:t xml:space="preserve"> </w:t>
                        </w:r>
                        <w:r>
                          <w:rPr>
                            <w:rFonts w:ascii="Arial" w:hAnsi="Arial"/>
                            <w:b/>
                            <w:sz w:val="24"/>
                          </w:rPr>
                          <w:t>by</w:t>
                        </w:r>
                        <w:r>
                          <w:rPr>
                            <w:rFonts w:ascii="Arial" w:hAnsi="Arial"/>
                            <w:b/>
                            <w:spacing w:val="-12"/>
                            <w:sz w:val="24"/>
                          </w:rPr>
                          <w:t xml:space="preserve"> </w:t>
                        </w:r>
                        <w:r>
                          <w:rPr>
                            <w:rFonts w:ascii="Arial" w:hAnsi="Arial"/>
                            <w:b/>
                            <w:sz w:val="24"/>
                          </w:rPr>
                          <w:t>the Member States, especially in those countries with significant investments into such services.</w:t>
                        </w:r>
                      </w:p>
                    </w:txbxContent>
                  </v:textbox>
                </v:shape>
                <w10:anchorlock/>
              </v:group>
            </w:pict>
          </mc:Fallback>
        </mc:AlternateContent>
      </w:r>
    </w:p>
    <w:p w14:paraId="11BD29F8" w14:textId="77777777" w:rsidR="00161C10" w:rsidRDefault="00CE2C8C">
      <w:pPr>
        <w:pStyle w:val="Heading3"/>
        <w:numPr>
          <w:ilvl w:val="2"/>
          <w:numId w:val="12"/>
        </w:numPr>
        <w:tabs>
          <w:tab w:val="left" w:pos="1136"/>
        </w:tabs>
        <w:spacing w:before="206"/>
        <w:ind w:left="1136" w:hanging="776"/>
      </w:pPr>
      <w:r>
        <w:t>Equal</w:t>
      </w:r>
      <w:r>
        <w:rPr>
          <w:spacing w:val="-9"/>
        </w:rPr>
        <w:t xml:space="preserve"> </w:t>
      </w:r>
      <w:r>
        <w:t>recognition</w:t>
      </w:r>
      <w:r>
        <w:rPr>
          <w:spacing w:val="-6"/>
        </w:rPr>
        <w:t xml:space="preserve"> </w:t>
      </w:r>
      <w:r>
        <w:t>before</w:t>
      </w:r>
      <w:r>
        <w:rPr>
          <w:spacing w:val="-6"/>
        </w:rPr>
        <w:t xml:space="preserve"> </w:t>
      </w:r>
      <w:r>
        <w:t>the</w:t>
      </w:r>
      <w:r>
        <w:rPr>
          <w:spacing w:val="-7"/>
        </w:rPr>
        <w:t xml:space="preserve"> </w:t>
      </w:r>
      <w:r>
        <w:t>law</w:t>
      </w:r>
      <w:r>
        <w:rPr>
          <w:spacing w:val="-5"/>
        </w:rPr>
        <w:t xml:space="preserve"> </w:t>
      </w:r>
      <w:r>
        <w:t>(art.</w:t>
      </w:r>
      <w:r>
        <w:rPr>
          <w:spacing w:val="-3"/>
        </w:rPr>
        <w:t xml:space="preserve"> </w:t>
      </w:r>
      <w:r>
        <w:rPr>
          <w:spacing w:val="-5"/>
        </w:rPr>
        <w:t>12)</w:t>
      </w:r>
    </w:p>
    <w:p w14:paraId="20FFD8C0" w14:textId="77777777" w:rsidR="00161C10" w:rsidRDefault="00CE2C8C">
      <w:pPr>
        <w:pStyle w:val="Heading4"/>
        <w:numPr>
          <w:ilvl w:val="3"/>
          <w:numId w:val="12"/>
        </w:numPr>
        <w:tabs>
          <w:tab w:val="left" w:pos="1073"/>
        </w:tabs>
        <w:spacing w:before="289"/>
        <w:ind w:hanging="355"/>
        <w:jc w:val="left"/>
      </w:pPr>
      <w:r>
        <w:t>Reply</w:t>
      </w:r>
      <w:r>
        <w:rPr>
          <w:spacing w:val="-2"/>
        </w:rPr>
        <w:t xml:space="preserve"> </w:t>
      </w:r>
      <w:r>
        <w:t>to</w:t>
      </w:r>
      <w:r>
        <w:rPr>
          <w:spacing w:val="-2"/>
        </w:rPr>
        <w:t xml:space="preserve"> </w:t>
      </w:r>
      <w:r>
        <w:t>issues</w:t>
      </w:r>
      <w:r>
        <w:rPr>
          <w:spacing w:val="-3"/>
        </w:rPr>
        <w:t xml:space="preserve"> </w:t>
      </w:r>
      <w:r>
        <w:t>raised</w:t>
      </w:r>
      <w:r>
        <w:rPr>
          <w:spacing w:val="-2"/>
        </w:rPr>
        <w:t xml:space="preserve"> </w:t>
      </w:r>
      <w:r>
        <w:t>in</w:t>
      </w:r>
      <w:r>
        <w:rPr>
          <w:spacing w:val="-1"/>
        </w:rPr>
        <w:t xml:space="preserve"> </w:t>
      </w:r>
      <w:r>
        <w:t>paragraph</w:t>
      </w:r>
      <w:r>
        <w:rPr>
          <w:spacing w:val="-2"/>
        </w:rPr>
        <w:t xml:space="preserve"> </w:t>
      </w:r>
      <w:r>
        <w:t>13b</w:t>
      </w:r>
      <w:r>
        <w:rPr>
          <w:spacing w:val="-4"/>
        </w:rPr>
        <w:t xml:space="preserve"> </w:t>
      </w:r>
      <w:r>
        <w:t>of</w:t>
      </w:r>
      <w:r>
        <w:rPr>
          <w:spacing w:val="-2"/>
        </w:rPr>
        <w:t xml:space="preserve"> </w:t>
      </w:r>
      <w:r>
        <w:t>the</w:t>
      </w:r>
      <w:r>
        <w:rPr>
          <w:spacing w:val="-1"/>
        </w:rPr>
        <w:t xml:space="preserve"> </w:t>
      </w:r>
      <w:r>
        <w:t>list</w:t>
      </w:r>
      <w:r>
        <w:rPr>
          <w:spacing w:val="-2"/>
        </w:rPr>
        <w:t xml:space="preserve"> </w:t>
      </w:r>
      <w:r>
        <w:t>of</w:t>
      </w:r>
      <w:r>
        <w:rPr>
          <w:spacing w:val="-3"/>
        </w:rPr>
        <w:t xml:space="preserve"> </w:t>
      </w:r>
      <w:r>
        <w:rPr>
          <w:spacing w:val="-2"/>
        </w:rPr>
        <w:t>issues</w:t>
      </w:r>
    </w:p>
    <w:p w14:paraId="122B066F" w14:textId="77777777" w:rsidR="00161C10" w:rsidRDefault="00CE2C8C">
      <w:pPr>
        <w:spacing w:before="159" w:line="276" w:lineRule="auto"/>
        <w:ind w:left="360" w:right="359"/>
        <w:jc w:val="both"/>
        <w:rPr>
          <w:rFonts w:ascii="Arial" w:hAnsi="Arial"/>
          <w:i/>
          <w:sz w:val="24"/>
        </w:rPr>
      </w:pPr>
      <w:r>
        <w:rPr>
          <w:rFonts w:ascii="Arial" w:hAnsi="Arial"/>
          <w:i/>
          <w:sz w:val="24"/>
        </w:rPr>
        <w:t>The</w:t>
      </w:r>
      <w:r>
        <w:rPr>
          <w:rFonts w:ascii="Arial" w:hAnsi="Arial"/>
          <w:i/>
          <w:spacing w:val="-7"/>
          <w:sz w:val="24"/>
        </w:rPr>
        <w:t xml:space="preserve"> </w:t>
      </w:r>
      <w:r>
        <w:rPr>
          <w:rFonts w:ascii="Arial" w:hAnsi="Arial"/>
          <w:i/>
          <w:sz w:val="24"/>
        </w:rPr>
        <w:t>European</w:t>
      </w:r>
      <w:r>
        <w:rPr>
          <w:rFonts w:ascii="Arial" w:hAnsi="Arial"/>
          <w:i/>
          <w:spacing w:val="-5"/>
          <w:sz w:val="24"/>
        </w:rPr>
        <w:t xml:space="preserve"> </w:t>
      </w:r>
      <w:r>
        <w:rPr>
          <w:rFonts w:ascii="Arial" w:hAnsi="Arial"/>
          <w:i/>
          <w:sz w:val="24"/>
        </w:rPr>
        <w:t>Union</w:t>
      </w:r>
      <w:r>
        <w:rPr>
          <w:rFonts w:ascii="Arial" w:hAnsi="Arial"/>
          <w:i/>
          <w:spacing w:val="-5"/>
          <w:sz w:val="24"/>
        </w:rPr>
        <w:t xml:space="preserve"> </w:t>
      </w:r>
      <w:r>
        <w:rPr>
          <w:rFonts w:ascii="Arial" w:hAnsi="Arial"/>
          <w:i/>
          <w:sz w:val="24"/>
        </w:rPr>
        <w:t>states</w:t>
      </w:r>
      <w:r>
        <w:rPr>
          <w:rFonts w:ascii="Arial" w:hAnsi="Arial"/>
          <w:i/>
          <w:spacing w:val="-8"/>
          <w:sz w:val="24"/>
        </w:rPr>
        <w:t xml:space="preserve"> </w:t>
      </w:r>
      <w:r>
        <w:rPr>
          <w:rFonts w:ascii="Arial" w:hAnsi="Arial"/>
          <w:i/>
          <w:sz w:val="24"/>
        </w:rPr>
        <w:t>that</w:t>
      </w:r>
      <w:r>
        <w:rPr>
          <w:rFonts w:ascii="Arial" w:hAnsi="Arial"/>
          <w:i/>
          <w:spacing w:val="-7"/>
          <w:sz w:val="24"/>
        </w:rPr>
        <w:t xml:space="preserve"> </w:t>
      </w:r>
      <w:r>
        <w:rPr>
          <w:rFonts w:ascii="Arial" w:hAnsi="Arial"/>
          <w:i/>
          <w:sz w:val="24"/>
        </w:rPr>
        <w:t>it</w:t>
      </w:r>
      <w:r>
        <w:rPr>
          <w:rFonts w:ascii="Arial" w:hAnsi="Arial"/>
          <w:i/>
          <w:spacing w:val="-5"/>
          <w:sz w:val="24"/>
        </w:rPr>
        <w:t xml:space="preserve"> </w:t>
      </w:r>
      <w:r>
        <w:rPr>
          <w:rFonts w:ascii="Arial" w:hAnsi="Arial"/>
          <w:i/>
          <w:sz w:val="24"/>
        </w:rPr>
        <w:t>“is</w:t>
      </w:r>
      <w:r>
        <w:rPr>
          <w:rFonts w:ascii="Arial" w:hAnsi="Arial"/>
          <w:i/>
          <w:spacing w:val="-8"/>
          <w:sz w:val="24"/>
        </w:rPr>
        <w:t xml:space="preserve"> </w:t>
      </w:r>
      <w:r>
        <w:rPr>
          <w:rFonts w:ascii="Arial" w:hAnsi="Arial"/>
          <w:i/>
          <w:sz w:val="24"/>
        </w:rPr>
        <w:t>preparing</w:t>
      </w:r>
      <w:r>
        <w:rPr>
          <w:rFonts w:ascii="Arial" w:hAnsi="Arial"/>
          <w:i/>
          <w:spacing w:val="-5"/>
          <w:sz w:val="24"/>
        </w:rPr>
        <w:t xml:space="preserve"> </w:t>
      </w:r>
      <w:r>
        <w:rPr>
          <w:rFonts w:ascii="Arial" w:hAnsi="Arial"/>
          <w:i/>
          <w:sz w:val="24"/>
        </w:rPr>
        <w:t>a</w:t>
      </w:r>
      <w:r>
        <w:rPr>
          <w:rFonts w:ascii="Arial" w:hAnsi="Arial"/>
          <w:i/>
          <w:spacing w:val="-7"/>
          <w:sz w:val="24"/>
        </w:rPr>
        <w:t xml:space="preserve"> </w:t>
      </w:r>
      <w:r>
        <w:rPr>
          <w:rFonts w:ascii="Arial" w:hAnsi="Arial"/>
          <w:i/>
          <w:sz w:val="24"/>
        </w:rPr>
        <w:t>legislative</w:t>
      </w:r>
      <w:r>
        <w:rPr>
          <w:rFonts w:ascii="Arial" w:hAnsi="Arial"/>
          <w:i/>
          <w:spacing w:val="-7"/>
          <w:sz w:val="24"/>
        </w:rPr>
        <w:t xml:space="preserve"> </w:t>
      </w:r>
      <w:r>
        <w:rPr>
          <w:rFonts w:ascii="Arial" w:hAnsi="Arial"/>
          <w:i/>
          <w:sz w:val="24"/>
        </w:rPr>
        <w:t>proposal</w:t>
      </w:r>
      <w:r>
        <w:rPr>
          <w:rFonts w:ascii="Arial" w:hAnsi="Arial"/>
          <w:i/>
          <w:spacing w:val="-8"/>
          <w:sz w:val="24"/>
        </w:rPr>
        <w:t xml:space="preserve"> </w:t>
      </w:r>
      <w:r>
        <w:rPr>
          <w:rFonts w:ascii="Arial" w:hAnsi="Arial"/>
          <w:i/>
          <w:sz w:val="24"/>
        </w:rPr>
        <w:t>on</w:t>
      </w:r>
      <w:r>
        <w:rPr>
          <w:rFonts w:ascii="Arial" w:hAnsi="Arial"/>
          <w:i/>
          <w:spacing w:val="-7"/>
          <w:sz w:val="24"/>
        </w:rPr>
        <w:t xml:space="preserve"> </w:t>
      </w:r>
      <w:r>
        <w:rPr>
          <w:rFonts w:ascii="Arial" w:hAnsi="Arial"/>
          <w:i/>
          <w:sz w:val="24"/>
        </w:rPr>
        <w:t>the</w:t>
      </w:r>
      <w:r>
        <w:rPr>
          <w:rFonts w:ascii="Arial" w:hAnsi="Arial"/>
          <w:i/>
          <w:spacing w:val="-7"/>
          <w:sz w:val="24"/>
        </w:rPr>
        <w:t xml:space="preserve"> </w:t>
      </w:r>
      <w:r>
        <w:rPr>
          <w:rFonts w:ascii="Arial" w:hAnsi="Arial"/>
          <w:i/>
          <w:sz w:val="24"/>
        </w:rPr>
        <w:t>protection</w:t>
      </w:r>
      <w:r>
        <w:rPr>
          <w:rFonts w:ascii="Arial" w:hAnsi="Arial"/>
          <w:i/>
          <w:spacing w:val="-7"/>
          <w:sz w:val="24"/>
        </w:rPr>
        <w:t xml:space="preserve"> </w:t>
      </w:r>
      <w:r>
        <w:rPr>
          <w:rFonts w:ascii="Arial" w:hAnsi="Arial"/>
          <w:i/>
          <w:sz w:val="24"/>
        </w:rPr>
        <w:t>of vulnerable adults</w:t>
      </w:r>
      <w:r>
        <w:rPr>
          <w:rFonts w:ascii="Arial" w:hAnsi="Arial"/>
          <w:i/>
          <w:spacing w:val="-1"/>
          <w:sz w:val="24"/>
        </w:rPr>
        <w:t xml:space="preserve"> </w:t>
      </w:r>
      <w:r>
        <w:rPr>
          <w:rFonts w:ascii="Arial" w:hAnsi="Arial"/>
          <w:i/>
          <w:sz w:val="24"/>
        </w:rPr>
        <w:t>in cross-border</w:t>
      </w:r>
      <w:r>
        <w:rPr>
          <w:rFonts w:ascii="Arial" w:hAnsi="Arial"/>
          <w:i/>
          <w:spacing w:val="-2"/>
          <w:sz w:val="24"/>
        </w:rPr>
        <w:t xml:space="preserve"> </w:t>
      </w:r>
      <w:r>
        <w:rPr>
          <w:rFonts w:ascii="Arial" w:hAnsi="Arial"/>
          <w:i/>
          <w:sz w:val="24"/>
        </w:rPr>
        <w:t>situations,</w:t>
      </w:r>
      <w:r>
        <w:rPr>
          <w:rFonts w:ascii="Arial" w:hAnsi="Arial"/>
          <w:i/>
          <w:spacing w:val="-3"/>
          <w:sz w:val="24"/>
        </w:rPr>
        <w:t xml:space="preserve"> </w:t>
      </w:r>
      <w:r>
        <w:rPr>
          <w:rFonts w:ascii="Arial" w:hAnsi="Arial"/>
          <w:i/>
          <w:sz w:val="24"/>
        </w:rPr>
        <w:t>notably</w:t>
      </w:r>
      <w:r>
        <w:rPr>
          <w:rFonts w:ascii="Arial" w:hAnsi="Arial"/>
          <w:i/>
          <w:spacing w:val="-1"/>
          <w:sz w:val="24"/>
        </w:rPr>
        <w:t xml:space="preserve"> </w:t>
      </w:r>
      <w:r>
        <w:rPr>
          <w:rFonts w:ascii="Arial" w:hAnsi="Arial"/>
          <w:i/>
          <w:sz w:val="24"/>
        </w:rPr>
        <w:t>those with intellectual</w:t>
      </w:r>
      <w:r>
        <w:rPr>
          <w:rFonts w:ascii="Arial" w:hAnsi="Arial"/>
          <w:i/>
          <w:spacing w:val="-1"/>
          <w:sz w:val="24"/>
        </w:rPr>
        <w:t xml:space="preserve"> </w:t>
      </w:r>
      <w:r>
        <w:rPr>
          <w:rFonts w:ascii="Arial" w:hAnsi="Arial"/>
          <w:i/>
          <w:sz w:val="24"/>
        </w:rPr>
        <w:t>disabilities, to pave the way for its ratification by all MS.”</w:t>
      </w:r>
    </w:p>
    <w:p w14:paraId="17A28B25" w14:textId="6864BED9" w:rsidR="00161C10" w:rsidRDefault="00CE2C8C">
      <w:pPr>
        <w:pStyle w:val="BodyText"/>
        <w:spacing w:before="122" w:line="276" w:lineRule="auto"/>
        <w:ind w:left="360" w:right="357"/>
        <w:jc w:val="both"/>
      </w:pPr>
      <w:r>
        <w:t xml:space="preserve">ENIL is concerned that the </w:t>
      </w:r>
      <w:hyperlink r:id="rId54">
        <w:r>
          <w:rPr>
            <w:color w:val="1154CC"/>
            <w:u w:val="single" w:color="1154CC"/>
          </w:rPr>
          <w:t>Proposal for the Regulation on Jurisdiction, Applicable Law,</w:t>
        </w:r>
      </w:hyperlink>
      <w:r>
        <w:rPr>
          <w:color w:val="1154CC"/>
        </w:rPr>
        <w:t xml:space="preserve"> </w:t>
      </w:r>
      <w:hyperlink r:id="rId55">
        <w:r>
          <w:rPr>
            <w:color w:val="1154CC"/>
            <w:u w:val="single" w:color="1154CC"/>
          </w:rPr>
          <w:t>Recognition and Enforcement of Measures and Cooperation in Matters Relating to the</w:t>
        </w:r>
      </w:hyperlink>
      <w:r>
        <w:rPr>
          <w:color w:val="1154CC"/>
        </w:rPr>
        <w:t xml:space="preserve"> </w:t>
      </w:r>
      <w:hyperlink r:id="rId56">
        <w:r>
          <w:rPr>
            <w:color w:val="1154CC"/>
            <w:u w:val="single" w:color="1154CC"/>
          </w:rPr>
          <w:t>Protection</w:t>
        </w:r>
        <w:r>
          <w:rPr>
            <w:color w:val="1154CC"/>
            <w:spacing w:val="-6"/>
            <w:u w:val="single" w:color="1154CC"/>
          </w:rPr>
          <w:t xml:space="preserve"> </w:t>
        </w:r>
        <w:r>
          <w:rPr>
            <w:color w:val="1154CC"/>
            <w:u w:val="single" w:color="1154CC"/>
          </w:rPr>
          <w:t>of</w:t>
        </w:r>
        <w:r>
          <w:rPr>
            <w:color w:val="1154CC"/>
            <w:spacing w:val="-6"/>
            <w:u w:val="single" w:color="1154CC"/>
          </w:rPr>
          <w:t xml:space="preserve"> </w:t>
        </w:r>
        <w:r>
          <w:rPr>
            <w:color w:val="1154CC"/>
            <w:u w:val="single" w:color="1154CC"/>
          </w:rPr>
          <w:t>Adults</w:t>
        </w:r>
        <w:r>
          <w:rPr>
            <w:color w:val="1154CC"/>
            <w:spacing w:val="-6"/>
            <w:u w:val="single" w:color="1154CC"/>
          </w:rPr>
          <w:t xml:space="preserve"> </w:t>
        </w:r>
        <w:r>
          <w:rPr>
            <w:color w:val="1154CC"/>
            <w:u w:val="single" w:color="1154CC"/>
          </w:rPr>
          <w:t>(COM</w:t>
        </w:r>
        <w:r>
          <w:rPr>
            <w:color w:val="1154CC"/>
            <w:spacing w:val="-7"/>
            <w:u w:val="single" w:color="1154CC"/>
          </w:rPr>
          <w:t xml:space="preserve"> </w:t>
        </w:r>
        <w:r>
          <w:rPr>
            <w:color w:val="1154CC"/>
            <w:u w:val="single" w:color="1154CC"/>
          </w:rPr>
          <w:t>(2023)</w:t>
        </w:r>
        <w:r>
          <w:rPr>
            <w:color w:val="1154CC"/>
            <w:spacing w:val="-9"/>
            <w:u w:val="single" w:color="1154CC"/>
          </w:rPr>
          <w:t xml:space="preserve"> </w:t>
        </w:r>
        <w:r>
          <w:rPr>
            <w:color w:val="1154CC"/>
            <w:u w:val="single" w:color="1154CC"/>
          </w:rPr>
          <w:t>280</w:t>
        </w:r>
        <w:r>
          <w:rPr>
            <w:color w:val="1154CC"/>
            <w:spacing w:val="-5"/>
            <w:u w:val="single" w:color="1154CC"/>
          </w:rPr>
          <w:t xml:space="preserve"> </w:t>
        </w:r>
        <w:r>
          <w:rPr>
            <w:color w:val="1154CC"/>
            <w:u w:val="single" w:color="1154CC"/>
          </w:rPr>
          <w:t>final)</w:t>
        </w:r>
      </w:hyperlink>
      <w:r>
        <w:rPr>
          <w:color w:val="1154CC"/>
          <w:spacing w:val="-3"/>
        </w:rPr>
        <w:t xml:space="preserve"> </w:t>
      </w:r>
      <w:r>
        <w:t>will</w:t>
      </w:r>
      <w:r>
        <w:rPr>
          <w:spacing w:val="-6"/>
        </w:rPr>
        <w:t xml:space="preserve"> </w:t>
      </w:r>
      <w:r>
        <w:t>undermine</w:t>
      </w:r>
      <w:r>
        <w:rPr>
          <w:spacing w:val="-7"/>
        </w:rPr>
        <w:t xml:space="preserve"> </w:t>
      </w:r>
      <w:r>
        <w:t>the</w:t>
      </w:r>
      <w:r>
        <w:rPr>
          <w:spacing w:val="-7"/>
        </w:rPr>
        <w:t xml:space="preserve"> </w:t>
      </w:r>
      <w:r>
        <w:t>implementation</w:t>
      </w:r>
      <w:r>
        <w:rPr>
          <w:spacing w:val="-5"/>
        </w:rPr>
        <w:t xml:space="preserve"> </w:t>
      </w:r>
      <w:r>
        <w:t>of</w:t>
      </w:r>
      <w:r>
        <w:rPr>
          <w:spacing w:val="-5"/>
        </w:rPr>
        <w:t xml:space="preserve"> </w:t>
      </w:r>
      <w:r>
        <w:t>articles 12,</w:t>
      </w:r>
      <w:r>
        <w:rPr>
          <w:spacing w:val="-4"/>
        </w:rPr>
        <w:t xml:space="preserve"> </w:t>
      </w:r>
      <w:r>
        <w:t>19,</w:t>
      </w:r>
      <w:r>
        <w:rPr>
          <w:spacing w:val="-4"/>
        </w:rPr>
        <w:t xml:space="preserve"> </w:t>
      </w:r>
      <w:r>
        <w:t>14</w:t>
      </w:r>
      <w:r>
        <w:rPr>
          <w:spacing w:val="-4"/>
        </w:rPr>
        <w:t xml:space="preserve"> </w:t>
      </w:r>
      <w:r>
        <w:t>and</w:t>
      </w:r>
      <w:r>
        <w:rPr>
          <w:spacing w:val="-4"/>
        </w:rPr>
        <w:t xml:space="preserve"> </w:t>
      </w:r>
      <w:r>
        <w:t>5</w:t>
      </w:r>
      <w:r>
        <w:rPr>
          <w:spacing w:val="-4"/>
        </w:rPr>
        <w:t xml:space="preserve"> </w:t>
      </w:r>
      <w:r>
        <w:t>of</w:t>
      </w:r>
      <w:r>
        <w:rPr>
          <w:spacing w:val="-4"/>
        </w:rPr>
        <w:t xml:space="preserve"> </w:t>
      </w:r>
      <w:r>
        <w:t>the</w:t>
      </w:r>
      <w:r>
        <w:rPr>
          <w:spacing w:val="-6"/>
        </w:rPr>
        <w:t xml:space="preserve"> </w:t>
      </w:r>
      <w:r>
        <w:t>UNCRPD</w:t>
      </w:r>
      <w:r>
        <w:rPr>
          <w:spacing w:val="-5"/>
        </w:rPr>
        <w:t xml:space="preserve"> </w:t>
      </w:r>
      <w:r>
        <w:t>in</w:t>
      </w:r>
      <w:r>
        <w:rPr>
          <w:spacing w:val="-4"/>
        </w:rPr>
        <w:t xml:space="preserve"> </w:t>
      </w:r>
      <w:r>
        <w:t>the</w:t>
      </w:r>
      <w:r>
        <w:rPr>
          <w:spacing w:val="-4"/>
        </w:rPr>
        <w:t xml:space="preserve"> </w:t>
      </w:r>
      <w:r>
        <w:t>EU.</w:t>
      </w:r>
      <w:r>
        <w:rPr>
          <w:spacing w:val="-4"/>
        </w:rPr>
        <w:t xml:space="preserve"> </w:t>
      </w:r>
      <w:r>
        <w:t>This</w:t>
      </w:r>
      <w:r>
        <w:rPr>
          <w:spacing w:val="-5"/>
        </w:rPr>
        <w:t xml:space="preserve"> </w:t>
      </w:r>
      <w:r>
        <w:t>has</w:t>
      </w:r>
      <w:r>
        <w:rPr>
          <w:spacing w:val="-4"/>
        </w:rPr>
        <w:t xml:space="preserve"> </w:t>
      </w:r>
      <w:r>
        <w:t>been</w:t>
      </w:r>
      <w:r>
        <w:rPr>
          <w:spacing w:val="-4"/>
        </w:rPr>
        <w:t xml:space="preserve"> </w:t>
      </w:r>
      <w:r>
        <w:t>confirmed</w:t>
      </w:r>
      <w:r>
        <w:rPr>
          <w:spacing w:val="-4"/>
        </w:rPr>
        <w:t xml:space="preserve"> </w:t>
      </w:r>
      <w:r>
        <w:t>by</w:t>
      </w:r>
      <w:r>
        <w:rPr>
          <w:spacing w:val="-4"/>
        </w:rPr>
        <w:t xml:space="preserve"> </w:t>
      </w:r>
      <w:r>
        <w:t>expert</w:t>
      </w:r>
      <w:r>
        <w:rPr>
          <w:spacing w:val="-5"/>
        </w:rPr>
        <w:t xml:space="preserve"> </w:t>
      </w:r>
      <w:r>
        <w:t>opinions published by the then UN Special Rapporteur on the Rights of Persons with Disabilities Gerard</w:t>
      </w:r>
      <w:r>
        <w:rPr>
          <w:spacing w:val="-17"/>
        </w:rPr>
        <w:t xml:space="preserve"> </w:t>
      </w:r>
      <w:r>
        <w:t>Quinn</w:t>
      </w:r>
      <w:r>
        <w:rPr>
          <w:spacing w:val="-17"/>
        </w:rPr>
        <w:t xml:space="preserve"> </w:t>
      </w:r>
      <w:r>
        <w:t>and</w:t>
      </w:r>
      <w:r>
        <w:rPr>
          <w:spacing w:val="-16"/>
        </w:rPr>
        <w:t xml:space="preserve"> </w:t>
      </w:r>
      <w:r>
        <w:t>the</w:t>
      </w:r>
      <w:r>
        <w:rPr>
          <w:spacing w:val="-17"/>
        </w:rPr>
        <w:t xml:space="preserve"> </w:t>
      </w:r>
      <w:r>
        <w:t>Independent</w:t>
      </w:r>
      <w:r>
        <w:rPr>
          <w:spacing w:val="-17"/>
        </w:rPr>
        <w:t xml:space="preserve"> </w:t>
      </w:r>
      <w:r>
        <w:t>Expert</w:t>
      </w:r>
      <w:r>
        <w:rPr>
          <w:spacing w:val="-17"/>
        </w:rPr>
        <w:t xml:space="preserve"> </w:t>
      </w:r>
      <w:r>
        <w:t>on</w:t>
      </w:r>
      <w:r>
        <w:rPr>
          <w:spacing w:val="-16"/>
        </w:rPr>
        <w:t xml:space="preserve"> </w:t>
      </w:r>
      <w:r>
        <w:t>the</w:t>
      </w:r>
      <w:r>
        <w:rPr>
          <w:spacing w:val="-17"/>
        </w:rPr>
        <w:t xml:space="preserve"> </w:t>
      </w:r>
      <w:r>
        <w:t>Enjoyment</w:t>
      </w:r>
      <w:r>
        <w:rPr>
          <w:spacing w:val="-17"/>
        </w:rPr>
        <w:t xml:space="preserve"> </w:t>
      </w:r>
      <w:r>
        <w:t>of</w:t>
      </w:r>
      <w:r>
        <w:rPr>
          <w:spacing w:val="-16"/>
        </w:rPr>
        <w:t xml:space="preserve"> </w:t>
      </w:r>
      <w:r>
        <w:t>All</w:t>
      </w:r>
      <w:r>
        <w:rPr>
          <w:spacing w:val="-17"/>
        </w:rPr>
        <w:t xml:space="preserve"> </w:t>
      </w:r>
      <w:r>
        <w:t>Human</w:t>
      </w:r>
      <w:r>
        <w:rPr>
          <w:spacing w:val="-17"/>
        </w:rPr>
        <w:t xml:space="preserve"> </w:t>
      </w:r>
      <w:r>
        <w:t>Rights</w:t>
      </w:r>
      <w:r>
        <w:rPr>
          <w:spacing w:val="-16"/>
        </w:rPr>
        <w:t xml:space="preserve"> </w:t>
      </w:r>
      <w:r>
        <w:t>by</w:t>
      </w:r>
      <w:r>
        <w:rPr>
          <w:spacing w:val="-17"/>
        </w:rPr>
        <w:t xml:space="preserve"> </w:t>
      </w:r>
      <w:r>
        <w:t xml:space="preserve">Older Persons Claudia Mahler, as well as </w:t>
      </w:r>
      <w:hyperlink r:id="rId57">
        <w:r>
          <w:rPr>
            <w:color w:val="1154CC"/>
            <w:u w:val="single" w:color="1154CC"/>
          </w:rPr>
          <w:t>disability law scholars</w:t>
        </w:r>
      </w:hyperlink>
      <w:r>
        <w:rPr>
          <w:color w:val="1154CC"/>
        </w:rPr>
        <w:t xml:space="preserve"> </w:t>
      </w:r>
      <w:r>
        <w:t xml:space="preserve">Prof. Dr. Theresia Degener and Prof. Dr. Kathrin </w:t>
      </w:r>
      <w:proofErr w:type="spellStart"/>
      <w:r>
        <w:t>Römisch</w:t>
      </w:r>
      <w:proofErr w:type="spellEnd"/>
      <w:r>
        <w:t>.</w:t>
      </w:r>
    </w:p>
    <w:p w14:paraId="51C0D478" w14:textId="77777777" w:rsidR="00161C10" w:rsidRDefault="00CE2C8C">
      <w:pPr>
        <w:pStyle w:val="BodyText"/>
        <w:spacing w:before="120"/>
        <w:ind w:left="360"/>
        <w:jc w:val="both"/>
      </w:pPr>
      <w:r>
        <w:t>ENIL</w:t>
      </w:r>
      <w:r>
        <w:rPr>
          <w:spacing w:val="-3"/>
        </w:rPr>
        <w:t xml:space="preserve"> </w:t>
      </w:r>
      <w:r>
        <w:t>is</w:t>
      </w:r>
      <w:r>
        <w:rPr>
          <w:spacing w:val="-3"/>
        </w:rPr>
        <w:t xml:space="preserve"> </w:t>
      </w:r>
      <w:r>
        <w:t>particularly</w:t>
      </w:r>
      <w:r>
        <w:rPr>
          <w:spacing w:val="-3"/>
        </w:rPr>
        <w:t xml:space="preserve"> </w:t>
      </w:r>
      <w:r>
        <w:t>concerned</w:t>
      </w:r>
      <w:r>
        <w:rPr>
          <w:spacing w:val="-4"/>
        </w:rPr>
        <w:t xml:space="preserve"> </w:t>
      </w:r>
      <w:r>
        <w:t>about</w:t>
      </w:r>
      <w:r>
        <w:rPr>
          <w:spacing w:val="-5"/>
        </w:rPr>
        <w:t xml:space="preserve"> </w:t>
      </w:r>
      <w:r>
        <w:t>the</w:t>
      </w:r>
      <w:r>
        <w:rPr>
          <w:spacing w:val="-5"/>
        </w:rPr>
        <w:t xml:space="preserve"> </w:t>
      </w:r>
      <w:r>
        <w:t>following</w:t>
      </w:r>
      <w:r>
        <w:rPr>
          <w:spacing w:val="-2"/>
        </w:rPr>
        <w:t xml:space="preserve"> </w:t>
      </w:r>
      <w:r>
        <w:t>parts</w:t>
      </w:r>
      <w:r>
        <w:rPr>
          <w:spacing w:val="-6"/>
        </w:rPr>
        <w:t xml:space="preserve"> </w:t>
      </w:r>
      <w:r>
        <w:t>of</w:t>
      </w:r>
      <w:r>
        <w:rPr>
          <w:spacing w:val="-3"/>
        </w:rPr>
        <w:t xml:space="preserve"> </w:t>
      </w:r>
      <w:r>
        <w:t>the</w:t>
      </w:r>
      <w:r>
        <w:rPr>
          <w:spacing w:val="-4"/>
        </w:rPr>
        <w:t xml:space="preserve"> </w:t>
      </w:r>
      <w:r>
        <w:rPr>
          <w:spacing w:val="-2"/>
        </w:rPr>
        <w:t>proposal:</w:t>
      </w:r>
    </w:p>
    <w:p w14:paraId="6DA3EB1D" w14:textId="77777777" w:rsidR="00161C10" w:rsidRDefault="00CE2C8C">
      <w:pPr>
        <w:pStyle w:val="ListParagraph"/>
        <w:numPr>
          <w:ilvl w:val="0"/>
          <w:numId w:val="9"/>
        </w:numPr>
        <w:tabs>
          <w:tab w:val="left" w:pos="1071"/>
          <w:tab w:val="left" w:pos="1073"/>
        </w:tabs>
        <w:spacing w:before="161" w:line="271" w:lineRule="auto"/>
        <w:ind w:right="364"/>
        <w:rPr>
          <w:rFonts w:ascii="Arial" w:hAnsi="Arial"/>
          <w:i/>
          <w:sz w:val="24"/>
        </w:rPr>
      </w:pPr>
      <w:r>
        <w:rPr>
          <w:rFonts w:ascii="Arial MT" w:hAnsi="Arial MT"/>
          <w:sz w:val="24"/>
        </w:rPr>
        <w:t>Article 1</w:t>
      </w:r>
      <w:r>
        <w:rPr>
          <w:rFonts w:ascii="Arial MT" w:hAnsi="Arial MT"/>
          <w:spacing w:val="-2"/>
          <w:sz w:val="24"/>
        </w:rPr>
        <w:t xml:space="preserve"> </w:t>
      </w:r>
      <w:r>
        <w:rPr>
          <w:rFonts w:ascii="Arial MT" w:hAnsi="Arial MT"/>
          <w:sz w:val="24"/>
        </w:rPr>
        <w:t>(a)</w:t>
      </w:r>
      <w:r>
        <w:rPr>
          <w:rFonts w:ascii="Arial MT" w:hAnsi="Arial MT"/>
          <w:spacing w:val="-3"/>
          <w:sz w:val="24"/>
        </w:rPr>
        <w:t xml:space="preserve"> </w:t>
      </w:r>
      <w:r>
        <w:rPr>
          <w:rFonts w:ascii="Arial MT" w:hAnsi="Arial MT"/>
          <w:sz w:val="24"/>
        </w:rPr>
        <w:t>defines</w:t>
      </w:r>
      <w:r>
        <w:rPr>
          <w:rFonts w:ascii="Arial MT" w:hAnsi="Arial MT"/>
          <w:spacing w:val="-3"/>
          <w:sz w:val="24"/>
        </w:rPr>
        <w:t xml:space="preserve"> </w:t>
      </w:r>
      <w:r>
        <w:rPr>
          <w:rFonts w:ascii="Arial MT" w:hAnsi="Arial MT"/>
          <w:sz w:val="24"/>
        </w:rPr>
        <w:t>the</w:t>
      </w:r>
      <w:r>
        <w:rPr>
          <w:rFonts w:ascii="Arial MT" w:hAnsi="Arial MT"/>
          <w:spacing w:val="-3"/>
          <w:sz w:val="24"/>
        </w:rPr>
        <w:t xml:space="preserve"> </w:t>
      </w:r>
      <w:r>
        <w:rPr>
          <w:rFonts w:ascii="Arial MT" w:hAnsi="Arial MT"/>
          <w:sz w:val="24"/>
        </w:rPr>
        <w:t>most</w:t>
      </w:r>
      <w:r>
        <w:rPr>
          <w:rFonts w:ascii="Arial MT" w:hAnsi="Arial MT"/>
          <w:spacing w:val="-3"/>
          <w:sz w:val="24"/>
        </w:rPr>
        <w:t xml:space="preserve"> </w:t>
      </w:r>
      <w:r>
        <w:rPr>
          <w:rFonts w:ascii="Arial MT" w:hAnsi="Arial MT"/>
          <w:sz w:val="24"/>
        </w:rPr>
        <w:t>important</w:t>
      </w:r>
      <w:r>
        <w:rPr>
          <w:rFonts w:ascii="Arial MT" w:hAnsi="Arial MT"/>
          <w:spacing w:val="-3"/>
          <w:sz w:val="24"/>
        </w:rPr>
        <w:t xml:space="preserve"> </w:t>
      </w:r>
      <w:r>
        <w:rPr>
          <w:rFonts w:ascii="Arial MT" w:hAnsi="Arial MT"/>
          <w:sz w:val="24"/>
        </w:rPr>
        <w:t>subject</w:t>
      </w:r>
      <w:r>
        <w:rPr>
          <w:rFonts w:ascii="Arial MT" w:hAnsi="Arial MT"/>
          <w:spacing w:val="-3"/>
          <w:sz w:val="24"/>
        </w:rPr>
        <w:t xml:space="preserve"> </w:t>
      </w:r>
      <w:r>
        <w:rPr>
          <w:rFonts w:ascii="Arial MT" w:hAnsi="Arial MT"/>
          <w:sz w:val="24"/>
        </w:rPr>
        <w:t>matter</w:t>
      </w:r>
      <w:r>
        <w:rPr>
          <w:rFonts w:ascii="Arial MT" w:hAnsi="Arial MT"/>
          <w:spacing w:val="-3"/>
          <w:sz w:val="24"/>
        </w:rPr>
        <w:t xml:space="preserve"> </w:t>
      </w:r>
      <w:r>
        <w:rPr>
          <w:rFonts w:ascii="Arial MT" w:hAnsi="Arial MT"/>
          <w:sz w:val="24"/>
        </w:rPr>
        <w:t>of</w:t>
      </w:r>
      <w:r>
        <w:rPr>
          <w:rFonts w:ascii="Arial MT" w:hAnsi="Arial MT"/>
          <w:spacing w:val="-3"/>
          <w:sz w:val="24"/>
        </w:rPr>
        <w:t xml:space="preserve"> </w:t>
      </w:r>
      <w:r>
        <w:rPr>
          <w:rFonts w:ascii="Arial MT" w:hAnsi="Arial MT"/>
          <w:sz w:val="24"/>
        </w:rPr>
        <w:t>the</w:t>
      </w:r>
      <w:r>
        <w:rPr>
          <w:rFonts w:ascii="Arial MT" w:hAnsi="Arial MT"/>
          <w:spacing w:val="-5"/>
          <w:sz w:val="24"/>
        </w:rPr>
        <w:t xml:space="preserve"> </w:t>
      </w:r>
      <w:r>
        <w:rPr>
          <w:rFonts w:ascii="Arial MT" w:hAnsi="Arial MT"/>
          <w:sz w:val="24"/>
        </w:rPr>
        <w:t>proposed legislation, which</w:t>
      </w:r>
      <w:r>
        <w:rPr>
          <w:rFonts w:ascii="Arial MT" w:hAnsi="Arial MT"/>
          <w:spacing w:val="-17"/>
          <w:sz w:val="24"/>
        </w:rPr>
        <w:t xml:space="preserve"> </w:t>
      </w:r>
      <w:r>
        <w:rPr>
          <w:rFonts w:ascii="Arial MT" w:hAnsi="Arial MT"/>
          <w:sz w:val="24"/>
        </w:rPr>
        <w:t>is</w:t>
      </w:r>
      <w:r>
        <w:rPr>
          <w:rFonts w:ascii="Arial MT" w:hAnsi="Arial MT"/>
          <w:spacing w:val="-17"/>
          <w:sz w:val="24"/>
        </w:rPr>
        <w:t xml:space="preserve"> </w:t>
      </w:r>
      <w:r>
        <w:rPr>
          <w:rFonts w:ascii="Arial MT" w:hAnsi="Arial MT"/>
          <w:sz w:val="24"/>
        </w:rPr>
        <w:t>to</w:t>
      </w:r>
      <w:r>
        <w:rPr>
          <w:rFonts w:ascii="Arial MT" w:hAnsi="Arial MT"/>
          <w:spacing w:val="-16"/>
          <w:sz w:val="24"/>
        </w:rPr>
        <w:t xml:space="preserve"> </w:t>
      </w:r>
      <w:r>
        <w:rPr>
          <w:rFonts w:ascii="Arial" w:hAnsi="Arial"/>
          <w:i/>
          <w:sz w:val="24"/>
        </w:rPr>
        <w:t>“determine</w:t>
      </w:r>
      <w:r>
        <w:rPr>
          <w:rFonts w:ascii="Arial" w:hAnsi="Arial"/>
          <w:i/>
          <w:spacing w:val="-17"/>
          <w:sz w:val="24"/>
        </w:rPr>
        <w:t xml:space="preserve"> </w:t>
      </w:r>
      <w:r>
        <w:rPr>
          <w:rFonts w:ascii="Arial" w:hAnsi="Arial"/>
          <w:i/>
          <w:sz w:val="24"/>
        </w:rPr>
        <w:t>the</w:t>
      </w:r>
      <w:r>
        <w:rPr>
          <w:rFonts w:ascii="Arial" w:hAnsi="Arial"/>
          <w:i/>
          <w:spacing w:val="-17"/>
          <w:sz w:val="24"/>
        </w:rPr>
        <w:t xml:space="preserve"> </w:t>
      </w:r>
      <w:r>
        <w:rPr>
          <w:rFonts w:ascii="Arial" w:hAnsi="Arial"/>
          <w:i/>
          <w:sz w:val="24"/>
        </w:rPr>
        <w:t>Member</w:t>
      </w:r>
      <w:r>
        <w:rPr>
          <w:rFonts w:ascii="Arial" w:hAnsi="Arial"/>
          <w:i/>
          <w:spacing w:val="-17"/>
          <w:sz w:val="24"/>
        </w:rPr>
        <w:t xml:space="preserve"> </w:t>
      </w:r>
      <w:r>
        <w:rPr>
          <w:rFonts w:ascii="Arial" w:hAnsi="Arial"/>
          <w:i/>
          <w:sz w:val="24"/>
        </w:rPr>
        <w:t>State</w:t>
      </w:r>
      <w:r>
        <w:rPr>
          <w:rFonts w:ascii="Arial" w:hAnsi="Arial"/>
          <w:i/>
          <w:spacing w:val="-16"/>
          <w:sz w:val="24"/>
        </w:rPr>
        <w:t xml:space="preserve"> </w:t>
      </w:r>
      <w:r>
        <w:rPr>
          <w:rFonts w:ascii="Arial" w:hAnsi="Arial"/>
          <w:i/>
          <w:sz w:val="24"/>
        </w:rPr>
        <w:t>whose</w:t>
      </w:r>
      <w:r>
        <w:rPr>
          <w:rFonts w:ascii="Arial" w:hAnsi="Arial"/>
          <w:i/>
          <w:spacing w:val="-17"/>
          <w:sz w:val="24"/>
        </w:rPr>
        <w:t xml:space="preserve"> </w:t>
      </w:r>
      <w:r>
        <w:rPr>
          <w:rFonts w:ascii="Arial" w:hAnsi="Arial"/>
          <w:i/>
          <w:sz w:val="24"/>
        </w:rPr>
        <w:t>authorities</w:t>
      </w:r>
      <w:r>
        <w:rPr>
          <w:rFonts w:ascii="Arial" w:hAnsi="Arial"/>
          <w:i/>
          <w:spacing w:val="-17"/>
          <w:sz w:val="24"/>
        </w:rPr>
        <w:t xml:space="preserve"> </w:t>
      </w:r>
      <w:r>
        <w:rPr>
          <w:rFonts w:ascii="Arial" w:hAnsi="Arial"/>
          <w:i/>
          <w:sz w:val="24"/>
        </w:rPr>
        <w:t>have</w:t>
      </w:r>
      <w:r>
        <w:rPr>
          <w:rFonts w:ascii="Arial" w:hAnsi="Arial"/>
          <w:i/>
          <w:spacing w:val="-16"/>
          <w:sz w:val="24"/>
        </w:rPr>
        <w:t xml:space="preserve"> </w:t>
      </w:r>
      <w:r>
        <w:rPr>
          <w:rFonts w:ascii="Arial" w:hAnsi="Arial"/>
          <w:i/>
          <w:sz w:val="24"/>
        </w:rPr>
        <w:t>jurisdiction</w:t>
      </w:r>
      <w:r>
        <w:rPr>
          <w:rFonts w:ascii="Arial" w:hAnsi="Arial"/>
          <w:i/>
          <w:spacing w:val="-17"/>
          <w:sz w:val="24"/>
        </w:rPr>
        <w:t xml:space="preserve"> </w:t>
      </w:r>
      <w:r>
        <w:rPr>
          <w:rFonts w:ascii="Arial" w:hAnsi="Arial"/>
          <w:i/>
          <w:sz w:val="24"/>
        </w:rPr>
        <w:t>to</w:t>
      </w:r>
      <w:r>
        <w:rPr>
          <w:rFonts w:ascii="Arial" w:hAnsi="Arial"/>
          <w:i/>
          <w:spacing w:val="-17"/>
          <w:sz w:val="24"/>
        </w:rPr>
        <w:t xml:space="preserve"> </w:t>
      </w:r>
      <w:r>
        <w:rPr>
          <w:rFonts w:ascii="Arial" w:hAnsi="Arial"/>
          <w:i/>
          <w:sz w:val="24"/>
        </w:rPr>
        <w:t>take measures directed to the protection of the person or property of the adult”.</w:t>
      </w:r>
    </w:p>
    <w:p w14:paraId="447FAA7A" w14:textId="77777777" w:rsidR="00161C10" w:rsidRDefault="00CE2C8C">
      <w:pPr>
        <w:pStyle w:val="ListParagraph"/>
        <w:numPr>
          <w:ilvl w:val="0"/>
          <w:numId w:val="9"/>
        </w:numPr>
        <w:tabs>
          <w:tab w:val="left" w:pos="1071"/>
          <w:tab w:val="left" w:pos="1073"/>
        </w:tabs>
        <w:spacing w:before="122" w:line="271" w:lineRule="auto"/>
        <w:ind w:right="360"/>
        <w:rPr>
          <w:rFonts w:ascii="Arial" w:hAnsi="Arial"/>
          <w:i/>
          <w:sz w:val="24"/>
        </w:rPr>
      </w:pPr>
      <w:r>
        <w:rPr>
          <w:rFonts w:ascii="Arial MT" w:hAnsi="Arial MT"/>
          <w:sz w:val="24"/>
        </w:rPr>
        <w:t xml:space="preserve">Article 2, 1 clarifies the scope: </w:t>
      </w:r>
      <w:r>
        <w:rPr>
          <w:rFonts w:ascii="Arial" w:hAnsi="Arial"/>
          <w:i/>
          <w:sz w:val="24"/>
        </w:rPr>
        <w:t>“This Regulation shall apply in civil matters to the protection in cross-border</w:t>
      </w:r>
      <w:r>
        <w:rPr>
          <w:rFonts w:ascii="Arial" w:hAnsi="Arial"/>
          <w:i/>
          <w:spacing w:val="-2"/>
          <w:sz w:val="24"/>
        </w:rPr>
        <w:t xml:space="preserve"> </w:t>
      </w:r>
      <w:r>
        <w:rPr>
          <w:rFonts w:ascii="Arial" w:hAnsi="Arial"/>
          <w:i/>
          <w:sz w:val="24"/>
        </w:rPr>
        <w:t>situations</w:t>
      </w:r>
      <w:r>
        <w:rPr>
          <w:rFonts w:ascii="Arial" w:hAnsi="Arial"/>
          <w:i/>
          <w:spacing w:val="-1"/>
          <w:sz w:val="24"/>
        </w:rPr>
        <w:t xml:space="preserve"> </w:t>
      </w:r>
      <w:r>
        <w:rPr>
          <w:rFonts w:ascii="Arial" w:hAnsi="Arial"/>
          <w:i/>
          <w:sz w:val="24"/>
        </w:rPr>
        <w:t>of adults</w:t>
      </w:r>
      <w:r>
        <w:rPr>
          <w:rFonts w:ascii="Arial" w:hAnsi="Arial"/>
          <w:i/>
          <w:spacing w:val="-3"/>
          <w:sz w:val="24"/>
        </w:rPr>
        <w:t xml:space="preserve"> </w:t>
      </w:r>
      <w:r>
        <w:rPr>
          <w:rFonts w:ascii="Arial" w:hAnsi="Arial"/>
          <w:i/>
          <w:sz w:val="24"/>
        </w:rPr>
        <w:t>who, by</w:t>
      </w:r>
      <w:r>
        <w:rPr>
          <w:rFonts w:ascii="Arial" w:hAnsi="Arial"/>
          <w:i/>
          <w:spacing w:val="-1"/>
          <w:sz w:val="24"/>
        </w:rPr>
        <w:t xml:space="preserve"> </w:t>
      </w:r>
      <w:r>
        <w:rPr>
          <w:rFonts w:ascii="Arial" w:hAnsi="Arial"/>
          <w:i/>
          <w:sz w:val="24"/>
        </w:rPr>
        <w:t xml:space="preserve">reason of an impairment or insufficiency of their personal faculties, are not in a position to protect their </w:t>
      </w:r>
      <w:r>
        <w:rPr>
          <w:rFonts w:ascii="Arial" w:hAnsi="Arial"/>
          <w:i/>
          <w:spacing w:val="-2"/>
          <w:sz w:val="24"/>
        </w:rPr>
        <w:t>interests.”</w:t>
      </w:r>
    </w:p>
    <w:p w14:paraId="70BBD65F" w14:textId="77777777" w:rsidR="00161C10" w:rsidRDefault="00CE2C8C">
      <w:pPr>
        <w:pStyle w:val="ListParagraph"/>
        <w:numPr>
          <w:ilvl w:val="0"/>
          <w:numId w:val="9"/>
        </w:numPr>
        <w:tabs>
          <w:tab w:val="left" w:pos="1071"/>
          <w:tab w:val="left" w:pos="1073"/>
        </w:tabs>
        <w:spacing w:before="127" w:line="273" w:lineRule="auto"/>
        <w:ind w:right="357"/>
        <w:rPr>
          <w:rFonts w:ascii="Arial" w:hAnsi="Arial"/>
          <w:i/>
          <w:sz w:val="24"/>
        </w:rPr>
      </w:pPr>
      <w:r>
        <w:rPr>
          <w:rFonts w:ascii="Arial MT" w:hAnsi="Arial MT"/>
          <w:sz w:val="24"/>
        </w:rPr>
        <w:t>Article</w:t>
      </w:r>
      <w:r>
        <w:rPr>
          <w:rFonts w:ascii="Arial MT" w:hAnsi="Arial MT"/>
          <w:spacing w:val="-12"/>
          <w:sz w:val="24"/>
        </w:rPr>
        <w:t xml:space="preserve"> </w:t>
      </w:r>
      <w:r>
        <w:rPr>
          <w:rFonts w:ascii="Arial MT" w:hAnsi="Arial MT"/>
          <w:sz w:val="24"/>
        </w:rPr>
        <w:t>3</w:t>
      </w:r>
      <w:r>
        <w:rPr>
          <w:rFonts w:ascii="Arial MT" w:hAnsi="Arial MT"/>
          <w:spacing w:val="-12"/>
          <w:sz w:val="24"/>
        </w:rPr>
        <w:t xml:space="preserve"> </w:t>
      </w:r>
      <w:r>
        <w:rPr>
          <w:rFonts w:ascii="Arial MT" w:hAnsi="Arial MT"/>
          <w:sz w:val="24"/>
        </w:rPr>
        <w:t>adds</w:t>
      </w:r>
      <w:r>
        <w:rPr>
          <w:rFonts w:ascii="Arial MT" w:hAnsi="Arial MT"/>
          <w:spacing w:val="-13"/>
          <w:sz w:val="24"/>
        </w:rPr>
        <w:t xml:space="preserve"> </w:t>
      </w:r>
      <w:r>
        <w:rPr>
          <w:rFonts w:ascii="Arial MT" w:hAnsi="Arial MT"/>
          <w:sz w:val="24"/>
        </w:rPr>
        <w:t>that</w:t>
      </w:r>
      <w:r>
        <w:rPr>
          <w:rFonts w:ascii="Arial MT" w:hAnsi="Arial MT"/>
          <w:spacing w:val="-12"/>
          <w:sz w:val="24"/>
        </w:rPr>
        <w:t xml:space="preserve"> </w:t>
      </w:r>
      <w:r>
        <w:rPr>
          <w:rFonts w:ascii="Arial MT" w:hAnsi="Arial MT"/>
          <w:sz w:val="24"/>
        </w:rPr>
        <w:t>the</w:t>
      </w:r>
      <w:r>
        <w:rPr>
          <w:rFonts w:ascii="Arial MT" w:hAnsi="Arial MT"/>
          <w:spacing w:val="-14"/>
          <w:sz w:val="24"/>
        </w:rPr>
        <w:t xml:space="preserve"> </w:t>
      </w:r>
      <w:r>
        <w:rPr>
          <w:rFonts w:ascii="Arial MT" w:hAnsi="Arial MT"/>
          <w:sz w:val="24"/>
        </w:rPr>
        <w:t>matters</w:t>
      </w:r>
      <w:r>
        <w:rPr>
          <w:rFonts w:ascii="Arial MT" w:hAnsi="Arial MT"/>
          <w:spacing w:val="-13"/>
          <w:sz w:val="24"/>
        </w:rPr>
        <w:t xml:space="preserve"> </w:t>
      </w:r>
      <w:r>
        <w:rPr>
          <w:rFonts w:ascii="Arial MT" w:hAnsi="Arial MT"/>
          <w:sz w:val="24"/>
        </w:rPr>
        <w:t>may</w:t>
      </w:r>
      <w:r>
        <w:rPr>
          <w:rFonts w:ascii="Arial MT" w:hAnsi="Arial MT"/>
          <w:spacing w:val="-13"/>
          <w:sz w:val="24"/>
        </w:rPr>
        <w:t xml:space="preserve"> </w:t>
      </w:r>
      <w:r>
        <w:rPr>
          <w:rFonts w:ascii="Arial MT" w:hAnsi="Arial MT"/>
          <w:sz w:val="24"/>
        </w:rPr>
        <w:t>include:</w:t>
      </w:r>
      <w:r>
        <w:rPr>
          <w:rFonts w:ascii="Arial MT" w:hAnsi="Arial MT"/>
          <w:spacing w:val="-8"/>
          <w:sz w:val="24"/>
        </w:rPr>
        <w:t xml:space="preserve"> </w:t>
      </w:r>
      <w:r>
        <w:rPr>
          <w:rFonts w:ascii="Arial" w:hAnsi="Arial"/>
          <w:i/>
          <w:sz w:val="24"/>
        </w:rPr>
        <w:t>“(a)</w:t>
      </w:r>
      <w:r>
        <w:rPr>
          <w:rFonts w:ascii="Arial" w:hAnsi="Arial"/>
          <w:i/>
          <w:spacing w:val="-13"/>
          <w:sz w:val="24"/>
        </w:rPr>
        <w:t xml:space="preserve"> </w:t>
      </w:r>
      <w:r>
        <w:rPr>
          <w:rFonts w:ascii="Arial" w:hAnsi="Arial"/>
          <w:i/>
          <w:sz w:val="24"/>
        </w:rPr>
        <w:t>the</w:t>
      </w:r>
      <w:r>
        <w:rPr>
          <w:rFonts w:ascii="Arial" w:hAnsi="Arial"/>
          <w:i/>
          <w:spacing w:val="-12"/>
          <w:sz w:val="24"/>
        </w:rPr>
        <w:t xml:space="preserve"> </w:t>
      </w:r>
      <w:r>
        <w:rPr>
          <w:rFonts w:ascii="Arial" w:hAnsi="Arial"/>
          <w:i/>
          <w:sz w:val="24"/>
        </w:rPr>
        <w:t>determination</w:t>
      </w:r>
      <w:r>
        <w:rPr>
          <w:rFonts w:ascii="Arial" w:hAnsi="Arial"/>
          <w:i/>
          <w:spacing w:val="-14"/>
          <w:sz w:val="24"/>
        </w:rPr>
        <w:t xml:space="preserve"> </w:t>
      </w:r>
      <w:r>
        <w:rPr>
          <w:rFonts w:ascii="Arial" w:hAnsi="Arial"/>
          <w:i/>
          <w:sz w:val="24"/>
        </w:rPr>
        <w:t>of</w:t>
      </w:r>
      <w:r>
        <w:rPr>
          <w:rFonts w:ascii="Arial" w:hAnsi="Arial"/>
          <w:i/>
          <w:spacing w:val="-14"/>
          <w:sz w:val="24"/>
        </w:rPr>
        <w:t xml:space="preserve"> </w:t>
      </w:r>
      <w:r>
        <w:rPr>
          <w:rFonts w:ascii="Arial" w:hAnsi="Arial"/>
          <w:i/>
          <w:sz w:val="24"/>
        </w:rPr>
        <w:t>the</w:t>
      </w:r>
      <w:r>
        <w:rPr>
          <w:rFonts w:ascii="Arial" w:hAnsi="Arial"/>
          <w:i/>
          <w:spacing w:val="-12"/>
          <w:sz w:val="24"/>
        </w:rPr>
        <w:t xml:space="preserve"> </w:t>
      </w:r>
      <w:r>
        <w:rPr>
          <w:rFonts w:ascii="Arial" w:hAnsi="Arial"/>
          <w:i/>
          <w:sz w:val="24"/>
        </w:rPr>
        <w:t>incapacity of an adult and the institution of a protective regime, (b) the placing of an adult under the protection of a judicial or administrative authority, (c) guardianship, curatorship and analogous institutions, (d) the designation and functions of any person or body having charge of the adult´s person or property…,(e) decisions concerning the placement of the adult in an establishment or other place where protection can be provided”.</w:t>
      </w:r>
    </w:p>
    <w:p w14:paraId="711BE25C" w14:textId="77777777" w:rsidR="00161C10" w:rsidRDefault="00CE2C8C">
      <w:pPr>
        <w:pStyle w:val="ListParagraph"/>
        <w:numPr>
          <w:ilvl w:val="0"/>
          <w:numId w:val="9"/>
        </w:numPr>
        <w:tabs>
          <w:tab w:val="left" w:pos="1071"/>
          <w:tab w:val="left" w:pos="1073"/>
        </w:tabs>
        <w:spacing w:before="125" w:line="264" w:lineRule="auto"/>
        <w:ind w:right="367"/>
        <w:rPr>
          <w:rFonts w:ascii="Arial MT" w:hAnsi="Arial MT"/>
          <w:sz w:val="24"/>
        </w:rPr>
      </w:pPr>
      <w:r>
        <w:rPr>
          <w:rFonts w:ascii="Arial MT" w:hAnsi="Arial MT"/>
          <w:sz w:val="24"/>
        </w:rPr>
        <w:t>Article 21 intends</w:t>
      </w:r>
      <w:r>
        <w:rPr>
          <w:rFonts w:ascii="Arial MT" w:hAnsi="Arial MT"/>
          <w:spacing w:val="-2"/>
          <w:sz w:val="24"/>
        </w:rPr>
        <w:t xml:space="preserve"> </w:t>
      </w:r>
      <w:r>
        <w:rPr>
          <w:rFonts w:ascii="Arial MT" w:hAnsi="Arial MT"/>
          <w:sz w:val="24"/>
        </w:rPr>
        <w:t>to grant</w:t>
      </w:r>
      <w:r>
        <w:rPr>
          <w:rFonts w:ascii="Arial MT" w:hAnsi="Arial MT"/>
          <w:spacing w:val="-1"/>
          <w:sz w:val="24"/>
        </w:rPr>
        <w:t xml:space="preserve"> </w:t>
      </w:r>
      <w:r>
        <w:rPr>
          <w:rFonts w:ascii="Arial MT" w:hAnsi="Arial MT"/>
          <w:sz w:val="24"/>
        </w:rPr>
        <w:t>authorities</w:t>
      </w:r>
      <w:r>
        <w:rPr>
          <w:rFonts w:ascii="Arial MT" w:hAnsi="Arial MT"/>
          <w:spacing w:val="-2"/>
          <w:sz w:val="24"/>
        </w:rPr>
        <w:t xml:space="preserve"> </w:t>
      </w:r>
      <w:r>
        <w:rPr>
          <w:rFonts w:ascii="Arial MT" w:hAnsi="Arial MT"/>
          <w:sz w:val="24"/>
        </w:rPr>
        <w:t>the</w:t>
      </w:r>
      <w:r>
        <w:rPr>
          <w:rFonts w:ascii="Arial MT" w:hAnsi="Arial MT"/>
          <w:spacing w:val="-1"/>
          <w:sz w:val="24"/>
        </w:rPr>
        <w:t xml:space="preserve"> </w:t>
      </w:r>
      <w:r>
        <w:rPr>
          <w:rFonts w:ascii="Arial MT" w:hAnsi="Arial MT"/>
          <w:sz w:val="24"/>
        </w:rPr>
        <w:t xml:space="preserve">power to </w:t>
      </w:r>
      <w:proofErr w:type="spellStart"/>
      <w:r>
        <w:rPr>
          <w:rFonts w:ascii="Arial MT" w:hAnsi="Arial MT"/>
          <w:sz w:val="24"/>
        </w:rPr>
        <w:t>institutionalise</w:t>
      </w:r>
      <w:proofErr w:type="spellEnd"/>
      <w:r>
        <w:rPr>
          <w:rFonts w:ascii="Arial MT" w:hAnsi="Arial MT"/>
          <w:spacing w:val="-1"/>
          <w:sz w:val="24"/>
        </w:rPr>
        <w:t xml:space="preserve"> </w:t>
      </w:r>
      <w:r>
        <w:rPr>
          <w:rFonts w:ascii="Arial MT" w:hAnsi="Arial MT"/>
          <w:sz w:val="24"/>
        </w:rPr>
        <w:t>disabled people under their control.</w:t>
      </w:r>
    </w:p>
    <w:p w14:paraId="55C7DA55" w14:textId="77777777" w:rsidR="00161C10" w:rsidRDefault="00161C10">
      <w:pPr>
        <w:pStyle w:val="ListParagraph"/>
        <w:spacing w:line="264" w:lineRule="auto"/>
        <w:rPr>
          <w:rFonts w:ascii="Arial MT" w:hAnsi="Arial MT"/>
          <w:sz w:val="24"/>
        </w:rPr>
        <w:sectPr w:rsidR="00161C10">
          <w:pgSz w:w="12240" w:h="15840"/>
          <w:pgMar w:top="1440" w:right="1080" w:bottom="1540" w:left="1080" w:header="0" w:footer="1274" w:gutter="0"/>
          <w:cols w:space="720"/>
        </w:sectPr>
      </w:pPr>
    </w:p>
    <w:p w14:paraId="6F0FD2E8" w14:textId="77777777" w:rsidR="00161C10" w:rsidRDefault="00CE2C8C">
      <w:pPr>
        <w:pStyle w:val="ListParagraph"/>
        <w:numPr>
          <w:ilvl w:val="0"/>
          <w:numId w:val="9"/>
        </w:numPr>
        <w:tabs>
          <w:tab w:val="left" w:pos="1080"/>
        </w:tabs>
        <w:spacing w:before="80" w:line="271" w:lineRule="auto"/>
        <w:ind w:left="1080" w:right="363" w:hanging="360"/>
        <w:rPr>
          <w:rFonts w:ascii="Arial MT" w:hAnsi="Arial MT"/>
          <w:sz w:val="24"/>
        </w:rPr>
      </w:pPr>
      <w:r>
        <w:rPr>
          <w:rFonts w:ascii="Arial MT" w:hAnsi="Arial MT"/>
          <w:sz w:val="24"/>
        </w:rPr>
        <w:lastRenderedPageBreak/>
        <w:t xml:space="preserve">Articles 45, 46, 47 would oblige MS to establish compulsory, interconnected, central protection registers, containing all details of measures taken against a </w:t>
      </w:r>
      <w:r>
        <w:rPr>
          <w:rFonts w:ascii="Arial MT" w:hAnsi="Arial MT"/>
          <w:spacing w:val="-2"/>
          <w:sz w:val="24"/>
        </w:rPr>
        <w:t>person.</w:t>
      </w:r>
    </w:p>
    <w:p w14:paraId="4D1AFAED" w14:textId="77777777" w:rsidR="00161C10" w:rsidRDefault="00CE2C8C">
      <w:pPr>
        <w:pStyle w:val="BodyText"/>
        <w:spacing w:before="123" w:line="276" w:lineRule="auto"/>
        <w:ind w:left="360" w:right="355"/>
        <w:jc w:val="both"/>
      </w:pPr>
      <w:r>
        <w:t>While</w:t>
      </w:r>
      <w:r>
        <w:rPr>
          <w:spacing w:val="-17"/>
        </w:rPr>
        <w:t xml:space="preserve"> </w:t>
      </w:r>
      <w:r>
        <w:t>the</w:t>
      </w:r>
      <w:r>
        <w:rPr>
          <w:spacing w:val="-17"/>
        </w:rPr>
        <w:t xml:space="preserve"> </w:t>
      </w:r>
      <w:r>
        <w:t>new</w:t>
      </w:r>
      <w:r>
        <w:rPr>
          <w:spacing w:val="-16"/>
        </w:rPr>
        <w:t xml:space="preserve"> </w:t>
      </w:r>
      <w:r>
        <w:t>Regulation</w:t>
      </w:r>
      <w:r>
        <w:rPr>
          <w:spacing w:val="-17"/>
        </w:rPr>
        <w:t xml:space="preserve"> </w:t>
      </w:r>
      <w:r>
        <w:t>would</w:t>
      </w:r>
      <w:r>
        <w:rPr>
          <w:spacing w:val="-17"/>
        </w:rPr>
        <w:t xml:space="preserve"> </w:t>
      </w:r>
      <w:r>
        <w:t>largely</w:t>
      </w:r>
      <w:r>
        <w:rPr>
          <w:spacing w:val="-17"/>
        </w:rPr>
        <w:t xml:space="preserve"> </w:t>
      </w:r>
      <w:r>
        <w:t>be</w:t>
      </w:r>
      <w:r>
        <w:rPr>
          <w:spacing w:val="-16"/>
        </w:rPr>
        <w:t xml:space="preserve"> </w:t>
      </w:r>
      <w:r>
        <w:t>procedural,</w:t>
      </w:r>
      <w:r>
        <w:rPr>
          <w:spacing w:val="-17"/>
        </w:rPr>
        <w:t xml:space="preserve"> </w:t>
      </w:r>
      <w:r>
        <w:t>those</w:t>
      </w:r>
      <w:r>
        <w:rPr>
          <w:spacing w:val="-17"/>
        </w:rPr>
        <w:t xml:space="preserve"> </w:t>
      </w:r>
      <w:r>
        <w:t>articles</w:t>
      </w:r>
      <w:r>
        <w:rPr>
          <w:spacing w:val="-16"/>
        </w:rPr>
        <w:t xml:space="preserve"> </w:t>
      </w:r>
      <w:r>
        <w:t>would</w:t>
      </w:r>
      <w:r>
        <w:rPr>
          <w:spacing w:val="-17"/>
        </w:rPr>
        <w:t xml:space="preserve"> </w:t>
      </w:r>
      <w:r>
        <w:t>introduce</w:t>
      </w:r>
      <w:r>
        <w:rPr>
          <w:spacing w:val="-17"/>
        </w:rPr>
        <w:t xml:space="preserve"> </w:t>
      </w:r>
      <w:r>
        <w:t>new substantial rules. The registers foreseen in articles 45, 46, 47 are not only supposed to contain</w:t>
      </w:r>
      <w:r>
        <w:rPr>
          <w:spacing w:val="-9"/>
        </w:rPr>
        <w:t xml:space="preserve"> </w:t>
      </w:r>
      <w:r>
        <w:t>mandatory</w:t>
      </w:r>
      <w:r>
        <w:rPr>
          <w:spacing w:val="-8"/>
        </w:rPr>
        <w:t xml:space="preserve"> </w:t>
      </w:r>
      <w:r>
        <w:t>information</w:t>
      </w:r>
      <w:r>
        <w:rPr>
          <w:spacing w:val="-7"/>
        </w:rPr>
        <w:t xml:space="preserve"> </w:t>
      </w:r>
      <w:r>
        <w:t>on</w:t>
      </w:r>
      <w:r>
        <w:rPr>
          <w:spacing w:val="-7"/>
        </w:rPr>
        <w:t xml:space="preserve"> </w:t>
      </w:r>
      <w:r>
        <w:t>cross-border</w:t>
      </w:r>
      <w:r>
        <w:rPr>
          <w:spacing w:val="-8"/>
        </w:rPr>
        <w:t xml:space="preserve"> </w:t>
      </w:r>
      <w:r>
        <w:t>cases,</w:t>
      </w:r>
      <w:r>
        <w:rPr>
          <w:spacing w:val="-10"/>
        </w:rPr>
        <w:t xml:space="preserve"> </w:t>
      </w:r>
      <w:r>
        <w:t>but</w:t>
      </w:r>
      <w:r>
        <w:rPr>
          <w:spacing w:val="-10"/>
        </w:rPr>
        <w:t xml:space="preserve"> </w:t>
      </w:r>
      <w:r>
        <w:t>all</w:t>
      </w:r>
      <w:r>
        <w:rPr>
          <w:spacing w:val="-9"/>
        </w:rPr>
        <w:t xml:space="preserve"> </w:t>
      </w:r>
      <w:r>
        <w:t>measures</w:t>
      </w:r>
      <w:r>
        <w:rPr>
          <w:spacing w:val="-8"/>
        </w:rPr>
        <w:t xml:space="preserve"> </w:t>
      </w:r>
      <w:r>
        <w:t>of</w:t>
      </w:r>
      <w:r>
        <w:rPr>
          <w:spacing w:val="-10"/>
        </w:rPr>
        <w:t xml:space="preserve"> </w:t>
      </w:r>
      <w:r>
        <w:t>protection</w:t>
      </w:r>
      <w:r>
        <w:rPr>
          <w:spacing w:val="-9"/>
        </w:rPr>
        <w:t xml:space="preserve"> </w:t>
      </w:r>
      <w:r>
        <w:t>and all</w:t>
      </w:r>
      <w:r>
        <w:rPr>
          <w:spacing w:val="-13"/>
        </w:rPr>
        <w:t xml:space="preserve"> </w:t>
      </w:r>
      <w:r>
        <w:t>confirmed</w:t>
      </w:r>
      <w:r>
        <w:rPr>
          <w:spacing w:val="-12"/>
        </w:rPr>
        <w:t xml:space="preserve"> </w:t>
      </w:r>
      <w:r>
        <w:t>powers</w:t>
      </w:r>
      <w:r>
        <w:rPr>
          <w:spacing w:val="-13"/>
        </w:rPr>
        <w:t xml:space="preserve"> </w:t>
      </w:r>
      <w:r>
        <w:t>of</w:t>
      </w:r>
      <w:r>
        <w:rPr>
          <w:spacing w:val="-13"/>
        </w:rPr>
        <w:t xml:space="preserve"> </w:t>
      </w:r>
      <w:r>
        <w:t>representation</w:t>
      </w:r>
      <w:r>
        <w:rPr>
          <w:spacing w:val="-12"/>
        </w:rPr>
        <w:t xml:space="preserve"> </w:t>
      </w:r>
      <w:r>
        <w:t>established</w:t>
      </w:r>
      <w:r>
        <w:rPr>
          <w:spacing w:val="-13"/>
        </w:rPr>
        <w:t xml:space="preserve"> </w:t>
      </w:r>
      <w:r>
        <w:t>over</w:t>
      </w:r>
      <w:r>
        <w:rPr>
          <w:spacing w:val="-13"/>
        </w:rPr>
        <w:t xml:space="preserve"> </w:t>
      </w:r>
      <w:r>
        <w:t>all</w:t>
      </w:r>
      <w:r>
        <w:rPr>
          <w:spacing w:val="-13"/>
        </w:rPr>
        <w:t xml:space="preserve"> </w:t>
      </w:r>
      <w:r>
        <w:t>persons</w:t>
      </w:r>
      <w:r>
        <w:rPr>
          <w:spacing w:val="-14"/>
        </w:rPr>
        <w:t xml:space="preserve"> </w:t>
      </w:r>
      <w:r>
        <w:t>deprived</w:t>
      </w:r>
      <w:r>
        <w:rPr>
          <w:spacing w:val="-12"/>
        </w:rPr>
        <w:t xml:space="preserve"> </w:t>
      </w:r>
      <w:r>
        <w:t>of</w:t>
      </w:r>
      <w:r>
        <w:rPr>
          <w:spacing w:val="-12"/>
        </w:rPr>
        <w:t xml:space="preserve"> </w:t>
      </w:r>
      <w:r>
        <w:t>their</w:t>
      </w:r>
      <w:r>
        <w:rPr>
          <w:spacing w:val="-13"/>
        </w:rPr>
        <w:t xml:space="preserve"> </w:t>
      </w:r>
      <w:r>
        <w:t>legal capacity</w:t>
      </w:r>
      <w:r>
        <w:rPr>
          <w:spacing w:val="-17"/>
        </w:rPr>
        <w:t xml:space="preserve"> </w:t>
      </w:r>
      <w:r>
        <w:t>in</w:t>
      </w:r>
      <w:r>
        <w:rPr>
          <w:spacing w:val="-17"/>
        </w:rPr>
        <w:t xml:space="preserve"> </w:t>
      </w:r>
      <w:r>
        <w:t>a</w:t>
      </w:r>
      <w:r>
        <w:rPr>
          <w:spacing w:val="-16"/>
        </w:rPr>
        <w:t xml:space="preserve"> </w:t>
      </w:r>
      <w:r>
        <w:t>Member</w:t>
      </w:r>
      <w:r>
        <w:rPr>
          <w:spacing w:val="-16"/>
        </w:rPr>
        <w:t xml:space="preserve"> </w:t>
      </w:r>
      <w:r>
        <w:t>State.</w:t>
      </w:r>
      <w:r>
        <w:rPr>
          <w:spacing w:val="-14"/>
        </w:rPr>
        <w:t xml:space="preserve"> </w:t>
      </w:r>
      <w:r>
        <w:t>The</w:t>
      </w:r>
      <w:r>
        <w:rPr>
          <w:spacing w:val="-14"/>
        </w:rPr>
        <w:t xml:space="preserve"> </w:t>
      </w:r>
      <w:r>
        <w:t>registers</w:t>
      </w:r>
      <w:r>
        <w:rPr>
          <w:spacing w:val="-17"/>
        </w:rPr>
        <w:t xml:space="preserve"> </w:t>
      </w:r>
      <w:r>
        <w:t>are</w:t>
      </w:r>
      <w:r>
        <w:rPr>
          <w:spacing w:val="-14"/>
        </w:rPr>
        <w:t xml:space="preserve"> </w:t>
      </w:r>
      <w:r>
        <w:t>supposed</w:t>
      </w:r>
      <w:r>
        <w:rPr>
          <w:spacing w:val="-16"/>
        </w:rPr>
        <w:t xml:space="preserve"> </w:t>
      </w:r>
      <w:r>
        <w:t>to</w:t>
      </w:r>
      <w:r>
        <w:rPr>
          <w:spacing w:val="-16"/>
        </w:rPr>
        <w:t xml:space="preserve"> </w:t>
      </w:r>
      <w:r>
        <w:t>be</w:t>
      </w:r>
      <w:r>
        <w:rPr>
          <w:spacing w:val="-14"/>
        </w:rPr>
        <w:t xml:space="preserve"> </w:t>
      </w:r>
      <w:r>
        <w:t>interconnected</w:t>
      </w:r>
      <w:r>
        <w:rPr>
          <w:spacing w:val="-16"/>
        </w:rPr>
        <w:t xml:space="preserve"> </w:t>
      </w:r>
      <w:r>
        <w:t>and</w:t>
      </w:r>
      <w:r>
        <w:rPr>
          <w:spacing w:val="-16"/>
        </w:rPr>
        <w:t xml:space="preserve"> </w:t>
      </w:r>
      <w:r>
        <w:t>provide central access for authorities within the EU. The European Commission estimates that the</w:t>
      </w:r>
      <w:r>
        <w:rPr>
          <w:spacing w:val="-3"/>
        </w:rPr>
        <w:t xml:space="preserve"> </w:t>
      </w:r>
      <w:r>
        <w:t>register</w:t>
      </w:r>
      <w:r>
        <w:rPr>
          <w:spacing w:val="-3"/>
        </w:rPr>
        <w:t xml:space="preserve"> </w:t>
      </w:r>
      <w:r>
        <w:t>would</w:t>
      </w:r>
      <w:r>
        <w:rPr>
          <w:spacing w:val="-5"/>
        </w:rPr>
        <w:t xml:space="preserve"> </w:t>
      </w:r>
      <w:r>
        <w:t>only</w:t>
      </w:r>
      <w:r>
        <w:rPr>
          <w:spacing w:val="-6"/>
        </w:rPr>
        <w:t xml:space="preserve"> </w:t>
      </w:r>
      <w:r>
        <w:t>be</w:t>
      </w:r>
      <w:r>
        <w:rPr>
          <w:spacing w:val="-3"/>
        </w:rPr>
        <w:t xml:space="preserve"> </w:t>
      </w:r>
      <w:r>
        <w:t>relevant</w:t>
      </w:r>
      <w:r>
        <w:rPr>
          <w:spacing w:val="-3"/>
        </w:rPr>
        <w:t xml:space="preserve"> </w:t>
      </w:r>
      <w:r>
        <w:t>in</w:t>
      </w:r>
      <w:r>
        <w:rPr>
          <w:spacing w:val="-5"/>
        </w:rPr>
        <w:t xml:space="preserve"> </w:t>
      </w:r>
      <w:r>
        <w:t>2.7%</w:t>
      </w:r>
      <w:r>
        <w:rPr>
          <w:spacing w:val="-3"/>
        </w:rPr>
        <w:t xml:space="preserve"> </w:t>
      </w:r>
      <w:r>
        <w:t>of</w:t>
      </w:r>
      <w:r>
        <w:rPr>
          <w:spacing w:val="-5"/>
        </w:rPr>
        <w:t xml:space="preserve"> </w:t>
      </w:r>
      <w:r>
        <w:t>cross-border</w:t>
      </w:r>
      <w:r>
        <w:rPr>
          <w:spacing w:val="-3"/>
        </w:rPr>
        <w:t xml:space="preserve"> </w:t>
      </w:r>
      <w:r>
        <w:t>situations.</w:t>
      </w:r>
      <w:r>
        <w:rPr>
          <w:spacing w:val="-3"/>
        </w:rPr>
        <w:t xml:space="preserve"> </w:t>
      </w:r>
      <w:r>
        <w:t>Despite</w:t>
      </w:r>
      <w:r>
        <w:rPr>
          <w:spacing w:val="-5"/>
        </w:rPr>
        <w:t xml:space="preserve"> </w:t>
      </w:r>
      <w:r>
        <w:t>that,</w:t>
      </w:r>
      <w:r>
        <w:rPr>
          <w:spacing w:val="-5"/>
        </w:rPr>
        <w:t xml:space="preserve"> </w:t>
      </w:r>
      <w:r>
        <w:t>ENIL is concerned that all adults in need of protection would have to be included and would argue that the gathering and storing highly personal data on the grounds of disability constitutes discrimination and a breach of privacy.</w:t>
      </w:r>
    </w:p>
    <w:p w14:paraId="1F193EA0" w14:textId="77777777" w:rsidR="00161C10" w:rsidRDefault="00CE2C8C">
      <w:pPr>
        <w:pStyle w:val="BodyText"/>
        <w:spacing w:before="119" w:line="276" w:lineRule="auto"/>
        <w:ind w:left="360" w:right="364"/>
        <w:jc w:val="both"/>
      </w:pPr>
      <w:r>
        <w:t>The Proposal for the Regulation was drafted by DG JUST, which has not been open to consider potential breaches of the UNCRPD, nor has there been any meaningful involvement of DPOs in the work on this new legislation.</w:t>
      </w:r>
    </w:p>
    <w:p w14:paraId="26844283" w14:textId="77777777" w:rsidR="00161C10" w:rsidRDefault="00CE2C8C">
      <w:pPr>
        <w:spacing w:before="121"/>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3AF872E2" w14:textId="77777777" w:rsidR="00161C10" w:rsidRDefault="00CE2C8C">
      <w:pPr>
        <w:pStyle w:val="BodyText"/>
        <w:rPr>
          <w:rFonts w:ascii="Arial"/>
          <w:b/>
          <w:i/>
          <w:sz w:val="12"/>
        </w:rPr>
      </w:pPr>
      <w:r>
        <w:rPr>
          <w:rFonts w:ascii="Arial"/>
          <w:b/>
          <w:i/>
          <w:noProof/>
          <w:sz w:val="12"/>
        </w:rPr>
        <mc:AlternateContent>
          <mc:Choice Requires="wps">
            <w:drawing>
              <wp:anchor distT="0" distB="0" distL="0" distR="0" simplePos="0" relativeHeight="487595520" behindDoc="1" locked="0" layoutInCell="1" allowOverlap="1" wp14:anchorId="74341E5E" wp14:editId="0E7DF144">
                <wp:simplePos x="0" y="0"/>
                <wp:positionH relativeFrom="page">
                  <wp:posOffset>843076</wp:posOffset>
                </wp:positionH>
                <wp:positionV relativeFrom="paragraph">
                  <wp:posOffset>106520</wp:posOffset>
                </wp:positionV>
                <wp:extent cx="6088380" cy="164211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1642110"/>
                        </a:xfrm>
                        <a:prstGeom prst="rect">
                          <a:avLst/>
                        </a:prstGeom>
                        <a:ln w="6095">
                          <a:solidFill>
                            <a:srgbClr val="000000"/>
                          </a:solidFill>
                          <a:prstDash val="solid"/>
                        </a:ln>
                      </wps:spPr>
                      <wps:txbx>
                        <w:txbxContent>
                          <w:p w14:paraId="2A8C7324" w14:textId="77777777" w:rsidR="00161C10" w:rsidRDefault="00CE2C8C">
                            <w:pPr>
                              <w:spacing w:before="19" w:line="276" w:lineRule="auto"/>
                              <w:ind w:left="108" w:right="104"/>
                              <w:jc w:val="both"/>
                              <w:rPr>
                                <w:rFonts w:ascii="Arial"/>
                                <w:b/>
                                <w:sz w:val="24"/>
                              </w:rPr>
                            </w:pPr>
                            <w:r>
                              <w:rPr>
                                <w:rFonts w:ascii="Arial"/>
                                <w:b/>
                                <w:sz w:val="24"/>
                              </w:rPr>
                              <w:t xml:space="preserve">The Committee recommends that the EU makes significant changes to the proposal for the Regulation </w:t>
                            </w:r>
                            <w:hyperlink r:id="rId58">
                              <w:r>
                                <w:rPr>
                                  <w:rFonts w:ascii="Arial"/>
                                  <w:b/>
                                  <w:color w:val="1154CC"/>
                                  <w:sz w:val="24"/>
                                  <w:u w:val="single" w:color="1154CC"/>
                                </w:rPr>
                                <w:t>on Jurisdiction, Applicable Law, Recognition and</w:t>
                              </w:r>
                            </w:hyperlink>
                            <w:r>
                              <w:rPr>
                                <w:rFonts w:ascii="Arial"/>
                                <w:b/>
                                <w:color w:val="1154CC"/>
                                <w:sz w:val="24"/>
                              </w:rPr>
                              <w:t xml:space="preserve"> </w:t>
                            </w:r>
                            <w:hyperlink r:id="rId59">
                              <w:r>
                                <w:rPr>
                                  <w:rFonts w:ascii="Arial"/>
                                  <w:b/>
                                  <w:color w:val="1154CC"/>
                                  <w:sz w:val="24"/>
                                  <w:u w:val="single" w:color="1154CC"/>
                                </w:rPr>
                                <w:t>Enforcement</w:t>
                              </w:r>
                              <w:r>
                                <w:rPr>
                                  <w:rFonts w:ascii="Arial"/>
                                  <w:b/>
                                  <w:color w:val="1154CC"/>
                                  <w:spacing w:val="-6"/>
                                  <w:sz w:val="24"/>
                                  <w:u w:val="single" w:color="1154CC"/>
                                </w:rPr>
                                <w:t xml:space="preserve"> </w:t>
                              </w:r>
                              <w:r>
                                <w:rPr>
                                  <w:rFonts w:ascii="Arial"/>
                                  <w:b/>
                                  <w:color w:val="1154CC"/>
                                  <w:sz w:val="24"/>
                                  <w:u w:val="single" w:color="1154CC"/>
                                </w:rPr>
                                <w:t>of</w:t>
                              </w:r>
                              <w:r>
                                <w:rPr>
                                  <w:rFonts w:ascii="Arial"/>
                                  <w:b/>
                                  <w:color w:val="1154CC"/>
                                  <w:spacing w:val="-6"/>
                                  <w:sz w:val="24"/>
                                  <w:u w:val="single" w:color="1154CC"/>
                                </w:rPr>
                                <w:t xml:space="preserve"> </w:t>
                              </w:r>
                              <w:r>
                                <w:rPr>
                                  <w:rFonts w:ascii="Arial"/>
                                  <w:b/>
                                  <w:color w:val="1154CC"/>
                                  <w:sz w:val="24"/>
                                  <w:u w:val="single" w:color="1154CC"/>
                                </w:rPr>
                                <w:t>Measures</w:t>
                              </w:r>
                              <w:r>
                                <w:rPr>
                                  <w:rFonts w:ascii="Arial"/>
                                  <w:b/>
                                  <w:color w:val="1154CC"/>
                                  <w:spacing w:val="-5"/>
                                  <w:sz w:val="24"/>
                                  <w:u w:val="single" w:color="1154CC"/>
                                </w:rPr>
                                <w:t xml:space="preserve"> </w:t>
                              </w:r>
                              <w:r>
                                <w:rPr>
                                  <w:rFonts w:ascii="Arial"/>
                                  <w:b/>
                                  <w:color w:val="1154CC"/>
                                  <w:sz w:val="24"/>
                                  <w:u w:val="single" w:color="1154CC"/>
                                </w:rPr>
                                <w:t>and</w:t>
                              </w:r>
                              <w:r>
                                <w:rPr>
                                  <w:rFonts w:ascii="Arial"/>
                                  <w:b/>
                                  <w:color w:val="1154CC"/>
                                  <w:spacing w:val="-6"/>
                                  <w:sz w:val="24"/>
                                  <w:u w:val="single" w:color="1154CC"/>
                                </w:rPr>
                                <w:t xml:space="preserve"> </w:t>
                              </w:r>
                              <w:r>
                                <w:rPr>
                                  <w:rFonts w:ascii="Arial"/>
                                  <w:b/>
                                  <w:color w:val="1154CC"/>
                                  <w:sz w:val="24"/>
                                  <w:u w:val="single" w:color="1154CC"/>
                                </w:rPr>
                                <w:t>Cooperation</w:t>
                              </w:r>
                              <w:r>
                                <w:rPr>
                                  <w:rFonts w:ascii="Arial"/>
                                  <w:b/>
                                  <w:color w:val="1154CC"/>
                                  <w:spacing w:val="-6"/>
                                  <w:sz w:val="24"/>
                                  <w:u w:val="single" w:color="1154CC"/>
                                </w:rPr>
                                <w:t xml:space="preserve"> </w:t>
                              </w:r>
                              <w:r>
                                <w:rPr>
                                  <w:rFonts w:ascii="Arial"/>
                                  <w:b/>
                                  <w:color w:val="1154CC"/>
                                  <w:sz w:val="24"/>
                                  <w:u w:val="single" w:color="1154CC"/>
                                </w:rPr>
                                <w:t>in</w:t>
                              </w:r>
                              <w:r>
                                <w:rPr>
                                  <w:rFonts w:ascii="Arial"/>
                                  <w:b/>
                                  <w:color w:val="1154CC"/>
                                  <w:spacing w:val="-5"/>
                                  <w:sz w:val="24"/>
                                  <w:u w:val="single" w:color="1154CC"/>
                                </w:rPr>
                                <w:t xml:space="preserve"> </w:t>
                              </w:r>
                              <w:r>
                                <w:rPr>
                                  <w:rFonts w:ascii="Arial"/>
                                  <w:b/>
                                  <w:color w:val="1154CC"/>
                                  <w:sz w:val="24"/>
                                  <w:u w:val="single" w:color="1154CC"/>
                                </w:rPr>
                                <w:t>Matters</w:t>
                              </w:r>
                              <w:r>
                                <w:rPr>
                                  <w:rFonts w:ascii="Arial"/>
                                  <w:b/>
                                  <w:color w:val="1154CC"/>
                                  <w:spacing w:val="-4"/>
                                  <w:sz w:val="24"/>
                                  <w:u w:val="single" w:color="1154CC"/>
                                </w:rPr>
                                <w:t xml:space="preserve"> </w:t>
                              </w:r>
                              <w:r>
                                <w:rPr>
                                  <w:rFonts w:ascii="Arial"/>
                                  <w:b/>
                                  <w:color w:val="1154CC"/>
                                  <w:sz w:val="24"/>
                                  <w:u w:val="single" w:color="1154CC"/>
                                </w:rPr>
                                <w:t>Relating</w:t>
                              </w:r>
                              <w:r>
                                <w:rPr>
                                  <w:rFonts w:ascii="Arial"/>
                                  <w:b/>
                                  <w:color w:val="1154CC"/>
                                  <w:spacing w:val="-8"/>
                                  <w:sz w:val="24"/>
                                  <w:u w:val="single" w:color="1154CC"/>
                                </w:rPr>
                                <w:t xml:space="preserve"> </w:t>
                              </w:r>
                              <w:r>
                                <w:rPr>
                                  <w:rFonts w:ascii="Arial"/>
                                  <w:b/>
                                  <w:color w:val="1154CC"/>
                                  <w:sz w:val="24"/>
                                  <w:u w:val="single" w:color="1154CC"/>
                                </w:rPr>
                                <w:t>to</w:t>
                              </w:r>
                              <w:r>
                                <w:rPr>
                                  <w:rFonts w:ascii="Arial"/>
                                  <w:b/>
                                  <w:color w:val="1154CC"/>
                                  <w:spacing w:val="-6"/>
                                  <w:sz w:val="24"/>
                                  <w:u w:val="single" w:color="1154CC"/>
                                </w:rPr>
                                <w:t xml:space="preserve"> </w:t>
                              </w:r>
                              <w:r>
                                <w:rPr>
                                  <w:rFonts w:ascii="Arial"/>
                                  <w:b/>
                                  <w:color w:val="1154CC"/>
                                  <w:sz w:val="24"/>
                                  <w:u w:val="single" w:color="1154CC"/>
                                </w:rPr>
                                <w:t>the</w:t>
                              </w:r>
                              <w:r>
                                <w:rPr>
                                  <w:rFonts w:ascii="Arial"/>
                                  <w:b/>
                                  <w:color w:val="1154CC"/>
                                  <w:spacing w:val="-5"/>
                                  <w:sz w:val="24"/>
                                  <w:u w:val="single" w:color="1154CC"/>
                                </w:rPr>
                                <w:t xml:space="preserve"> </w:t>
                              </w:r>
                              <w:r>
                                <w:rPr>
                                  <w:rFonts w:ascii="Arial"/>
                                  <w:b/>
                                  <w:color w:val="1154CC"/>
                                  <w:sz w:val="24"/>
                                  <w:u w:val="single" w:color="1154CC"/>
                                </w:rPr>
                                <w:t>Protection</w:t>
                              </w:r>
                              <w:r>
                                <w:rPr>
                                  <w:rFonts w:ascii="Arial"/>
                                  <w:b/>
                                  <w:color w:val="1154CC"/>
                                  <w:spacing w:val="-6"/>
                                  <w:sz w:val="24"/>
                                  <w:u w:val="single" w:color="1154CC"/>
                                </w:rPr>
                                <w:t xml:space="preserve"> </w:t>
                              </w:r>
                              <w:r>
                                <w:rPr>
                                  <w:rFonts w:ascii="Arial"/>
                                  <w:b/>
                                  <w:color w:val="1154CC"/>
                                  <w:sz w:val="24"/>
                                  <w:u w:val="single" w:color="1154CC"/>
                                </w:rPr>
                                <w:t>of</w:t>
                              </w:r>
                            </w:hyperlink>
                            <w:r>
                              <w:rPr>
                                <w:rFonts w:ascii="Arial"/>
                                <w:b/>
                                <w:color w:val="1154CC"/>
                                <w:sz w:val="24"/>
                              </w:rPr>
                              <w:t xml:space="preserve"> </w:t>
                            </w:r>
                            <w:hyperlink r:id="rId60">
                              <w:r>
                                <w:rPr>
                                  <w:rFonts w:ascii="Arial"/>
                                  <w:b/>
                                  <w:color w:val="1154CC"/>
                                  <w:sz w:val="24"/>
                                  <w:u w:val="single" w:color="1154CC"/>
                                </w:rPr>
                                <w:t>Adults</w:t>
                              </w:r>
                            </w:hyperlink>
                            <w:r>
                              <w:rPr>
                                <w:rFonts w:ascii="Arial"/>
                                <w:b/>
                                <w:color w:val="1154CC"/>
                                <w:spacing w:val="-10"/>
                                <w:sz w:val="24"/>
                              </w:rPr>
                              <w:t xml:space="preserve"> </w:t>
                            </w:r>
                            <w:r>
                              <w:rPr>
                                <w:rFonts w:ascii="Arial"/>
                                <w:b/>
                                <w:sz w:val="24"/>
                              </w:rPr>
                              <w:t>.</w:t>
                            </w:r>
                            <w:r>
                              <w:rPr>
                                <w:rFonts w:ascii="Arial"/>
                                <w:b/>
                                <w:spacing w:val="-10"/>
                                <w:sz w:val="24"/>
                              </w:rPr>
                              <w:t xml:space="preserve"> </w:t>
                            </w:r>
                            <w:r>
                              <w:rPr>
                                <w:rFonts w:ascii="Arial"/>
                                <w:b/>
                                <w:sz w:val="24"/>
                              </w:rPr>
                              <w:t>All</w:t>
                            </w:r>
                            <w:r>
                              <w:rPr>
                                <w:rFonts w:ascii="Arial"/>
                                <w:b/>
                                <w:spacing w:val="-10"/>
                                <w:sz w:val="24"/>
                              </w:rPr>
                              <w:t xml:space="preserve"> </w:t>
                            </w:r>
                            <w:r>
                              <w:rPr>
                                <w:rFonts w:ascii="Arial"/>
                                <w:b/>
                                <w:sz w:val="24"/>
                              </w:rPr>
                              <w:t>terms</w:t>
                            </w:r>
                            <w:r>
                              <w:rPr>
                                <w:rFonts w:ascii="Arial"/>
                                <w:b/>
                                <w:spacing w:val="-11"/>
                                <w:sz w:val="24"/>
                              </w:rPr>
                              <w:t xml:space="preserve"> </w:t>
                            </w:r>
                            <w:r>
                              <w:rPr>
                                <w:rFonts w:ascii="Arial"/>
                                <w:b/>
                                <w:sz w:val="24"/>
                              </w:rPr>
                              <w:t>and</w:t>
                            </w:r>
                            <w:r>
                              <w:rPr>
                                <w:rFonts w:ascii="Arial"/>
                                <w:b/>
                                <w:spacing w:val="-13"/>
                                <w:sz w:val="24"/>
                              </w:rPr>
                              <w:t xml:space="preserve"> </w:t>
                            </w:r>
                            <w:r>
                              <w:rPr>
                                <w:rFonts w:ascii="Arial"/>
                                <w:b/>
                                <w:sz w:val="24"/>
                              </w:rPr>
                              <w:t>concepts</w:t>
                            </w:r>
                            <w:r>
                              <w:rPr>
                                <w:rFonts w:ascii="Arial"/>
                                <w:b/>
                                <w:spacing w:val="-9"/>
                                <w:sz w:val="24"/>
                              </w:rPr>
                              <w:t xml:space="preserve"> </w:t>
                            </w:r>
                            <w:r>
                              <w:rPr>
                                <w:rFonts w:ascii="Arial"/>
                                <w:b/>
                                <w:sz w:val="24"/>
                              </w:rPr>
                              <w:t>pertaining</w:t>
                            </w:r>
                            <w:r>
                              <w:rPr>
                                <w:rFonts w:ascii="Arial"/>
                                <w:b/>
                                <w:spacing w:val="-15"/>
                                <w:sz w:val="24"/>
                              </w:rPr>
                              <w:t xml:space="preserve"> </w:t>
                            </w:r>
                            <w:r>
                              <w:rPr>
                                <w:rFonts w:ascii="Arial"/>
                                <w:b/>
                                <w:sz w:val="24"/>
                              </w:rPr>
                              <w:t>to</w:t>
                            </w:r>
                            <w:r>
                              <w:rPr>
                                <w:rFonts w:ascii="Arial"/>
                                <w:b/>
                                <w:spacing w:val="-11"/>
                                <w:sz w:val="24"/>
                              </w:rPr>
                              <w:t xml:space="preserve"> </w:t>
                            </w:r>
                            <w:r>
                              <w:rPr>
                                <w:rFonts w:ascii="Arial"/>
                                <w:b/>
                                <w:sz w:val="24"/>
                              </w:rPr>
                              <w:t>the</w:t>
                            </w:r>
                            <w:r>
                              <w:rPr>
                                <w:rFonts w:ascii="Arial"/>
                                <w:b/>
                                <w:spacing w:val="-9"/>
                                <w:sz w:val="24"/>
                              </w:rPr>
                              <w:t xml:space="preserve"> </w:t>
                            </w:r>
                            <w:r>
                              <w:rPr>
                                <w:rFonts w:ascii="Arial"/>
                                <w:b/>
                                <w:sz w:val="24"/>
                              </w:rPr>
                              <w:t>deprivation</w:t>
                            </w:r>
                            <w:r>
                              <w:rPr>
                                <w:rFonts w:ascii="Arial"/>
                                <w:b/>
                                <w:spacing w:val="-13"/>
                                <w:sz w:val="24"/>
                              </w:rPr>
                              <w:t xml:space="preserve"> </w:t>
                            </w:r>
                            <w:r>
                              <w:rPr>
                                <w:rFonts w:ascii="Arial"/>
                                <w:b/>
                                <w:sz w:val="24"/>
                              </w:rPr>
                              <w:t>of</w:t>
                            </w:r>
                            <w:r>
                              <w:rPr>
                                <w:rFonts w:ascii="Arial"/>
                                <w:b/>
                                <w:spacing w:val="-11"/>
                                <w:sz w:val="24"/>
                              </w:rPr>
                              <w:t xml:space="preserve"> </w:t>
                            </w:r>
                            <w:r>
                              <w:rPr>
                                <w:rFonts w:ascii="Arial"/>
                                <w:b/>
                                <w:sz w:val="24"/>
                              </w:rPr>
                              <w:t>legal</w:t>
                            </w:r>
                            <w:r>
                              <w:rPr>
                                <w:rFonts w:ascii="Arial"/>
                                <w:b/>
                                <w:spacing w:val="-12"/>
                                <w:sz w:val="24"/>
                              </w:rPr>
                              <w:t xml:space="preserve"> </w:t>
                            </w:r>
                            <w:r>
                              <w:rPr>
                                <w:rFonts w:ascii="Arial"/>
                                <w:b/>
                                <w:sz w:val="24"/>
                              </w:rPr>
                              <w:t>capacity</w:t>
                            </w:r>
                            <w:r>
                              <w:rPr>
                                <w:rFonts w:ascii="Arial"/>
                                <w:b/>
                                <w:spacing w:val="-12"/>
                                <w:sz w:val="24"/>
                              </w:rPr>
                              <w:t xml:space="preserve"> </w:t>
                            </w:r>
                            <w:r>
                              <w:rPr>
                                <w:rFonts w:ascii="Arial"/>
                                <w:b/>
                                <w:sz w:val="24"/>
                              </w:rPr>
                              <w:t xml:space="preserve">must be removed from the regulation and replaced by supported decision-making. References to enforcement, as well as articles 21 (on </w:t>
                            </w:r>
                            <w:proofErr w:type="spellStart"/>
                            <w:r>
                              <w:rPr>
                                <w:rFonts w:ascii="Arial"/>
                                <w:b/>
                                <w:sz w:val="24"/>
                              </w:rPr>
                              <w:t>institutionalisation</w:t>
                            </w:r>
                            <w:proofErr w:type="spellEnd"/>
                            <w:r>
                              <w:rPr>
                                <w:rFonts w:ascii="Arial"/>
                                <w:b/>
                                <w:sz w:val="24"/>
                              </w:rPr>
                              <w:t xml:space="preserve">), 45, 46 and 47 must be removed completely. If this is not possible, the proposal must be </w:t>
                            </w:r>
                            <w:r>
                              <w:rPr>
                                <w:rFonts w:ascii="Arial"/>
                                <w:b/>
                                <w:spacing w:val="-2"/>
                                <w:sz w:val="24"/>
                              </w:rPr>
                              <w:t>withdrawn.</w:t>
                            </w:r>
                          </w:p>
                        </w:txbxContent>
                      </wps:txbx>
                      <wps:bodyPr wrap="square" lIns="0" tIns="0" rIns="0" bIns="0" rtlCol="0">
                        <a:noAutofit/>
                      </wps:bodyPr>
                    </wps:wsp>
                  </a:graphicData>
                </a:graphic>
              </wp:anchor>
            </w:drawing>
          </mc:Choice>
          <mc:Fallback>
            <w:pict>
              <v:shape w14:anchorId="74341E5E" id="Textbox 26" o:spid="_x0000_s1044" type="#_x0000_t202" style="position:absolute;margin-left:66.4pt;margin-top:8.4pt;width:479.4pt;height:129.3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" filled="f" strokeweight=".16931mm">
                <v:path arrowok="t"/>
                <v:textbox inset="0,0,0,0">
                  <w:txbxContent>
                    <w:p w14:paraId="2A8C7324" w14:textId="77777777" w:rsidR="00161C10" w:rsidRDefault="00CE2C8C">
                      <w:pPr>
                        <w:spacing w:before="19" w:line="276" w:lineRule="auto"/>
                        <w:ind w:left="108" w:right="104"/>
                        <w:jc w:val="both"/>
                        <w:rPr>
                          <w:rFonts w:ascii="Arial"/>
                          <w:b/>
                          <w:sz w:val="24"/>
                        </w:rPr>
                      </w:pPr>
                      <w:r>
                        <w:rPr>
                          <w:rFonts w:ascii="Arial"/>
                          <w:b/>
                          <w:sz w:val="24"/>
                        </w:rPr>
                        <w:t xml:space="preserve">The Committee recommends that the EU makes significant changes to the proposal for the Regulation </w:t>
                      </w:r>
                      <w:hyperlink r:id="rId62">
                        <w:r>
                          <w:rPr>
                            <w:rFonts w:ascii="Arial"/>
                            <w:b/>
                            <w:color w:val="1154CC"/>
                            <w:sz w:val="24"/>
                            <w:u w:val="single" w:color="1154CC"/>
                          </w:rPr>
                          <w:t>on Jurisdiction, Applicable Law, Recognition and</w:t>
                        </w:r>
                      </w:hyperlink>
                      <w:r>
                        <w:rPr>
                          <w:rFonts w:ascii="Arial"/>
                          <w:b/>
                          <w:color w:val="1154CC"/>
                          <w:sz w:val="24"/>
                        </w:rPr>
                        <w:t xml:space="preserve"> </w:t>
                      </w:r>
                      <w:hyperlink r:id="rId63">
                        <w:r>
                          <w:rPr>
                            <w:rFonts w:ascii="Arial"/>
                            <w:b/>
                            <w:color w:val="1154CC"/>
                            <w:sz w:val="24"/>
                            <w:u w:val="single" w:color="1154CC"/>
                          </w:rPr>
                          <w:t>Enforcement</w:t>
                        </w:r>
                        <w:r>
                          <w:rPr>
                            <w:rFonts w:ascii="Arial"/>
                            <w:b/>
                            <w:color w:val="1154CC"/>
                            <w:spacing w:val="-6"/>
                            <w:sz w:val="24"/>
                            <w:u w:val="single" w:color="1154CC"/>
                          </w:rPr>
                          <w:t xml:space="preserve"> </w:t>
                        </w:r>
                        <w:r>
                          <w:rPr>
                            <w:rFonts w:ascii="Arial"/>
                            <w:b/>
                            <w:color w:val="1154CC"/>
                            <w:sz w:val="24"/>
                            <w:u w:val="single" w:color="1154CC"/>
                          </w:rPr>
                          <w:t>of</w:t>
                        </w:r>
                        <w:r>
                          <w:rPr>
                            <w:rFonts w:ascii="Arial"/>
                            <w:b/>
                            <w:color w:val="1154CC"/>
                            <w:spacing w:val="-6"/>
                            <w:sz w:val="24"/>
                            <w:u w:val="single" w:color="1154CC"/>
                          </w:rPr>
                          <w:t xml:space="preserve"> </w:t>
                        </w:r>
                        <w:r>
                          <w:rPr>
                            <w:rFonts w:ascii="Arial"/>
                            <w:b/>
                            <w:color w:val="1154CC"/>
                            <w:sz w:val="24"/>
                            <w:u w:val="single" w:color="1154CC"/>
                          </w:rPr>
                          <w:t>Measures</w:t>
                        </w:r>
                        <w:r>
                          <w:rPr>
                            <w:rFonts w:ascii="Arial"/>
                            <w:b/>
                            <w:color w:val="1154CC"/>
                            <w:spacing w:val="-5"/>
                            <w:sz w:val="24"/>
                            <w:u w:val="single" w:color="1154CC"/>
                          </w:rPr>
                          <w:t xml:space="preserve"> </w:t>
                        </w:r>
                        <w:r>
                          <w:rPr>
                            <w:rFonts w:ascii="Arial"/>
                            <w:b/>
                            <w:color w:val="1154CC"/>
                            <w:sz w:val="24"/>
                            <w:u w:val="single" w:color="1154CC"/>
                          </w:rPr>
                          <w:t>and</w:t>
                        </w:r>
                        <w:r>
                          <w:rPr>
                            <w:rFonts w:ascii="Arial"/>
                            <w:b/>
                            <w:color w:val="1154CC"/>
                            <w:spacing w:val="-6"/>
                            <w:sz w:val="24"/>
                            <w:u w:val="single" w:color="1154CC"/>
                          </w:rPr>
                          <w:t xml:space="preserve"> </w:t>
                        </w:r>
                        <w:r>
                          <w:rPr>
                            <w:rFonts w:ascii="Arial"/>
                            <w:b/>
                            <w:color w:val="1154CC"/>
                            <w:sz w:val="24"/>
                            <w:u w:val="single" w:color="1154CC"/>
                          </w:rPr>
                          <w:t>Cooperation</w:t>
                        </w:r>
                        <w:r>
                          <w:rPr>
                            <w:rFonts w:ascii="Arial"/>
                            <w:b/>
                            <w:color w:val="1154CC"/>
                            <w:spacing w:val="-6"/>
                            <w:sz w:val="24"/>
                            <w:u w:val="single" w:color="1154CC"/>
                          </w:rPr>
                          <w:t xml:space="preserve"> </w:t>
                        </w:r>
                        <w:r>
                          <w:rPr>
                            <w:rFonts w:ascii="Arial"/>
                            <w:b/>
                            <w:color w:val="1154CC"/>
                            <w:sz w:val="24"/>
                            <w:u w:val="single" w:color="1154CC"/>
                          </w:rPr>
                          <w:t>in</w:t>
                        </w:r>
                        <w:r>
                          <w:rPr>
                            <w:rFonts w:ascii="Arial"/>
                            <w:b/>
                            <w:color w:val="1154CC"/>
                            <w:spacing w:val="-5"/>
                            <w:sz w:val="24"/>
                            <w:u w:val="single" w:color="1154CC"/>
                          </w:rPr>
                          <w:t xml:space="preserve"> </w:t>
                        </w:r>
                        <w:r>
                          <w:rPr>
                            <w:rFonts w:ascii="Arial"/>
                            <w:b/>
                            <w:color w:val="1154CC"/>
                            <w:sz w:val="24"/>
                            <w:u w:val="single" w:color="1154CC"/>
                          </w:rPr>
                          <w:t>Matters</w:t>
                        </w:r>
                        <w:r>
                          <w:rPr>
                            <w:rFonts w:ascii="Arial"/>
                            <w:b/>
                            <w:color w:val="1154CC"/>
                            <w:spacing w:val="-4"/>
                            <w:sz w:val="24"/>
                            <w:u w:val="single" w:color="1154CC"/>
                          </w:rPr>
                          <w:t xml:space="preserve"> </w:t>
                        </w:r>
                        <w:r>
                          <w:rPr>
                            <w:rFonts w:ascii="Arial"/>
                            <w:b/>
                            <w:color w:val="1154CC"/>
                            <w:sz w:val="24"/>
                            <w:u w:val="single" w:color="1154CC"/>
                          </w:rPr>
                          <w:t>Relating</w:t>
                        </w:r>
                        <w:r>
                          <w:rPr>
                            <w:rFonts w:ascii="Arial"/>
                            <w:b/>
                            <w:color w:val="1154CC"/>
                            <w:spacing w:val="-8"/>
                            <w:sz w:val="24"/>
                            <w:u w:val="single" w:color="1154CC"/>
                          </w:rPr>
                          <w:t xml:space="preserve"> </w:t>
                        </w:r>
                        <w:r>
                          <w:rPr>
                            <w:rFonts w:ascii="Arial"/>
                            <w:b/>
                            <w:color w:val="1154CC"/>
                            <w:sz w:val="24"/>
                            <w:u w:val="single" w:color="1154CC"/>
                          </w:rPr>
                          <w:t>to</w:t>
                        </w:r>
                        <w:r>
                          <w:rPr>
                            <w:rFonts w:ascii="Arial"/>
                            <w:b/>
                            <w:color w:val="1154CC"/>
                            <w:spacing w:val="-6"/>
                            <w:sz w:val="24"/>
                            <w:u w:val="single" w:color="1154CC"/>
                          </w:rPr>
                          <w:t xml:space="preserve"> </w:t>
                        </w:r>
                        <w:r>
                          <w:rPr>
                            <w:rFonts w:ascii="Arial"/>
                            <w:b/>
                            <w:color w:val="1154CC"/>
                            <w:sz w:val="24"/>
                            <w:u w:val="single" w:color="1154CC"/>
                          </w:rPr>
                          <w:t>the</w:t>
                        </w:r>
                        <w:r>
                          <w:rPr>
                            <w:rFonts w:ascii="Arial"/>
                            <w:b/>
                            <w:color w:val="1154CC"/>
                            <w:spacing w:val="-5"/>
                            <w:sz w:val="24"/>
                            <w:u w:val="single" w:color="1154CC"/>
                          </w:rPr>
                          <w:t xml:space="preserve"> </w:t>
                        </w:r>
                        <w:r>
                          <w:rPr>
                            <w:rFonts w:ascii="Arial"/>
                            <w:b/>
                            <w:color w:val="1154CC"/>
                            <w:sz w:val="24"/>
                            <w:u w:val="single" w:color="1154CC"/>
                          </w:rPr>
                          <w:t>Protection</w:t>
                        </w:r>
                        <w:r>
                          <w:rPr>
                            <w:rFonts w:ascii="Arial"/>
                            <w:b/>
                            <w:color w:val="1154CC"/>
                            <w:spacing w:val="-6"/>
                            <w:sz w:val="24"/>
                            <w:u w:val="single" w:color="1154CC"/>
                          </w:rPr>
                          <w:t xml:space="preserve"> </w:t>
                        </w:r>
                        <w:r>
                          <w:rPr>
                            <w:rFonts w:ascii="Arial"/>
                            <w:b/>
                            <w:color w:val="1154CC"/>
                            <w:sz w:val="24"/>
                            <w:u w:val="single" w:color="1154CC"/>
                          </w:rPr>
                          <w:t>of</w:t>
                        </w:r>
                      </w:hyperlink>
                      <w:r>
                        <w:rPr>
                          <w:rFonts w:ascii="Arial"/>
                          <w:b/>
                          <w:color w:val="1154CC"/>
                          <w:sz w:val="24"/>
                        </w:rPr>
                        <w:t xml:space="preserve"> </w:t>
                      </w:r>
                      <w:hyperlink r:id="rId64">
                        <w:r>
                          <w:rPr>
                            <w:rFonts w:ascii="Arial"/>
                            <w:b/>
                            <w:color w:val="1154CC"/>
                            <w:sz w:val="24"/>
                            <w:u w:val="single" w:color="1154CC"/>
                          </w:rPr>
                          <w:t>Adults</w:t>
                        </w:r>
                      </w:hyperlink>
                      <w:r>
                        <w:rPr>
                          <w:rFonts w:ascii="Arial"/>
                          <w:b/>
                          <w:color w:val="1154CC"/>
                          <w:spacing w:val="-10"/>
                          <w:sz w:val="24"/>
                        </w:rPr>
                        <w:t xml:space="preserve"> </w:t>
                      </w:r>
                      <w:r>
                        <w:rPr>
                          <w:rFonts w:ascii="Arial"/>
                          <w:b/>
                          <w:sz w:val="24"/>
                        </w:rPr>
                        <w:t>.</w:t>
                      </w:r>
                      <w:r>
                        <w:rPr>
                          <w:rFonts w:ascii="Arial"/>
                          <w:b/>
                          <w:spacing w:val="-10"/>
                          <w:sz w:val="24"/>
                        </w:rPr>
                        <w:t xml:space="preserve"> </w:t>
                      </w:r>
                      <w:r>
                        <w:rPr>
                          <w:rFonts w:ascii="Arial"/>
                          <w:b/>
                          <w:sz w:val="24"/>
                        </w:rPr>
                        <w:t>All</w:t>
                      </w:r>
                      <w:r>
                        <w:rPr>
                          <w:rFonts w:ascii="Arial"/>
                          <w:b/>
                          <w:spacing w:val="-10"/>
                          <w:sz w:val="24"/>
                        </w:rPr>
                        <w:t xml:space="preserve"> </w:t>
                      </w:r>
                      <w:r>
                        <w:rPr>
                          <w:rFonts w:ascii="Arial"/>
                          <w:b/>
                          <w:sz w:val="24"/>
                        </w:rPr>
                        <w:t>terms</w:t>
                      </w:r>
                      <w:r>
                        <w:rPr>
                          <w:rFonts w:ascii="Arial"/>
                          <w:b/>
                          <w:spacing w:val="-11"/>
                          <w:sz w:val="24"/>
                        </w:rPr>
                        <w:t xml:space="preserve"> </w:t>
                      </w:r>
                      <w:r>
                        <w:rPr>
                          <w:rFonts w:ascii="Arial"/>
                          <w:b/>
                          <w:sz w:val="24"/>
                        </w:rPr>
                        <w:t>and</w:t>
                      </w:r>
                      <w:r>
                        <w:rPr>
                          <w:rFonts w:ascii="Arial"/>
                          <w:b/>
                          <w:spacing w:val="-13"/>
                          <w:sz w:val="24"/>
                        </w:rPr>
                        <w:t xml:space="preserve"> </w:t>
                      </w:r>
                      <w:r>
                        <w:rPr>
                          <w:rFonts w:ascii="Arial"/>
                          <w:b/>
                          <w:sz w:val="24"/>
                        </w:rPr>
                        <w:t>concepts</w:t>
                      </w:r>
                      <w:r>
                        <w:rPr>
                          <w:rFonts w:ascii="Arial"/>
                          <w:b/>
                          <w:spacing w:val="-9"/>
                          <w:sz w:val="24"/>
                        </w:rPr>
                        <w:t xml:space="preserve"> </w:t>
                      </w:r>
                      <w:r>
                        <w:rPr>
                          <w:rFonts w:ascii="Arial"/>
                          <w:b/>
                          <w:sz w:val="24"/>
                        </w:rPr>
                        <w:t>pertaining</w:t>
                      </w:r>
                      <w:r>
                        <w:rPr>
                          <w:rFonts w:ascii="Arial"/>
                          <w:b/>
                          <w:spacing w:val="-15"/>
                          <w:sz w:val="24"/>
                        </w:rPr>
                        <w:t xml:space="preserve"> </w:t>
                      </w:r>
                      <w:r>
                        <w:rPr>
                          <w:rFonts w:ascii="Arial"/>
                          <w:b/>
                          <w:sz w:val="24"/>
                        </w:rPr>
                        <w:t>to</w:t>
                      </w:r>
                      <w:r>
                        <w:rPr>
                          <w:rFonts w:ascii="Arial"/>
                          <w:b/>
                          <w:spacing w:val="-11"/>
                          <w:sz w:val="24"/>
                        </w:rPr>
                        <w:t xml:space="preserve"> </w:t>
                      </w:r>
                      <w:r>
                        <w:rPr>
                          <w:rFonts w:ascii="Arial"/>
                          <w:b/>
                          <w:sz w:val="24"/>
                        </w:rPr>
                        <w:t>the</w:t>
                      </w:r>
                      <w:r>
                        <w:rPr>
                          <w:rFonts w:ascii="Arial"/>
                          <w:b/>
                          <w:spacing w:val="-9"/>
                          <w:sz w:val="24"/>
                        </w:rPr>
                        <w:t xml:space="preserve"> </w:t>
                      </w:r>
                      <w:r>
                        <w:rPr>
                          <w:rFonts w:ascii="Arial"/>
                          <w:b/>
                          <w:sz w:val="24"/>
                        </w:rPr>
                        <w:t>deprivation</w:t>
                      </w:r>
                      <w:r>
                        <w:rPr>
                          <w:rFonts w:ascii="Arial"/>
                          <w:b/>
                          <w:spacing w:val="-13"/>
                          <w:sz w:val="24"/>
                        </w:rPr>
                        <w:t xml:space="preserve"> </w:t>
                      </w:r>
                      <w:r>
                        <w:rPr>
                          <w:rFonts w:ascii="Arial"/>
                          <w:b/>
                          <w:sz w:val="24"/>
                        </w:rPr>
                        <w:t>of</w:t>
                      </w:r>
                      <w:r>
                        <w:rPr>
                          <w:rFonts w:ascii="Arial"/>
                          <w:b/>
                          <w:spacing w:val="-11"/>
                          <w:sz w:val="24"/>
                        </w:rPr>
                        <w:t xml:space="preserve"> </w:t>
                      </w:r>
                      <w:r>
                        <w:rPr>
                          <w:rFonts w:ascii="Arial"/>
                          <w:b/>
                          <w:sz w:val="24"/>
                        </w:rPr>
                        <w:t>legal</w:t>
                      </w:r>
                      <w:r>
                        <w:rPr>
                          <w:rFonts w:ascii="Arial"/>
                          <w:b/>
                          <w:spacing w:val="-12"/>
                          <w:sz w:val="24"/>
                        </w:rPr>
                        <w:t xml:space="preserve"> </w:t>
                      </w:r>
                      <w:r>
                        <w:rPr>
                          <w:rFonts w:ascii="Arial"/>
                          <w:b/>
                          <w:sz w:val="24"/>
                        </w:rPr>
                        <w:t>capacity</w:t>
                      </w:r>
                      <w:r>
                        <w:rPr>
                          <w:rFonts w:ascii="Arial"/>
                          <w:b/>
                          <w:spacing w:val="-12"/>
                          <w:sz w:val="24"/>
                        </w:rPr>
                        <w:t xml:space="preserve"> </w:t>
                      </w:r>
                      <w:r>
                        <w:rPr>
                          <w:rFonts w:ascii="Arial"/>
                          <w:b/>
                          <w:sz w:val="24"/>
                        </w:rPr>
                        <w:t xml:space="preserve">must be removed from the regulation and replaced by supported decision-making. References to enforcement, as well as articles 21 (on </w:t>
                      </w:r>
                      <w:proofErr w:type="spellStart"/>
                      <w:r>
                        <w:rPr>
                          <w:rFonts w:ascii="Arial"/>
                          <w:b/>
                          <w:sz w:val="24"/>
                        </w:rPr>
                        <w:t>institutionalisation</w:t>
                      </w:r>
                      <w:proofErr w:type="spellEnd"/>
                      <w:r>
                        <w:rPr>
                          <w:rFonts w:ascii="Arial"/>
                          <w:b/>
                          <w:sz w:val="24"/>
                        </w:rPr>
                        <w:t xml:space="preserve">), 45, 46 and 47 must be removed completely. If this is not possible, the proposal must be </w:t>
                      </w:r>
                      <w:r>
                        <w:rPr>
                          <w:rFonts w:ascii="Arial"/>
                          <w:b/>
                          <w:spacing w:val="-2"/>
                          <w:sz w:val="24"/>
                        </w:rPr>
                        <w:t>withdrawn.</w:t>
                      </w:r>
                    </w:p>
                  </w:txbxContent>
                </v:textbox>
                <w10:wrap type="topAndBottom" anchorx="page"/>
              </v:shape>
            </w:pict>
          </mc:Fallback>
        </mc:AlternateContent>
      </w:r>
    </w:p>
    <w:p w14:paraId="685C1307" w14:textId="77777777" w:rsidR="00161C10" w:rsidRDefault="00CE2C8C">
      <w:pPr>
        <w:pStyle w:val="Heading3"/>
        <w:numPr>
          <w:ilvl w:val="2"/>
          <w:numId w:val="12"/>
        </w:numPr>
        <w:tabs>
          <w:tab w:val="left" w:pos="1136"/>
        </w:tabs>
        <w:ind w:left="1136" w:hanging="776"/>
      </w:pPr>
      <w:r>
        <w:t>Liberty</w:t>
      </w:r>
      <w:r>
        <w:rPr>
          <w:spacing w:val="-6"/>
        </w:rPr>
        <w:t xml:space="preserve"> </w:t>
      </w:r>
      <w:r>
        <w:t>of</w:t>
      </w:r>
      <w:r>
        <w:rPr>
          <w:spacing w:val="-5"/>
        </w:rPr>
        <w:t xml:space="preserve"> </w:t>
      </w:r>
      <w:r>
        <w:t>movement</w:t>
      </w:r>
      <w:r>
        <w:rPr>
          <w:spacing w:val="-5"/>
        </w:rPr>
        <w:t xml:space="preserve"> </w:t>
      </w:r>
      <w:r>
        <w:t>and</w:t>
      </w:r>
      <w:r>
        <w:rPr>
          <w:spacing w:val="-7"/>
        </w:rPr>
        <w:t xml:space="preserve"> </w:t>
      </w:r>
      <w:r>
        <w:t>nationality</w:t>
      </w:r>
      <w:r>
        <w:rPr>
          <w:spacing w:val="-4"/>
        </w:rPr>
        <w:t xml:space="preserve"> </w:t>
      </w:r>
      <w:r>
        <w:t>(art.</w:t>
      </w:r>
      <w:r>
        <w:rPr>
          <w:spacing w:val="-3"/>
        </w:rPr>
        <w:t xml:space="preserve"> </w:t>
      </w:r>
      <w:r>
        <w:rPr>
          <w:spacing w:val="-5"/>
        </w:rPr>
        <w:t>18)</w:t>
      </w:r>
    </w:p>
    <w:p w14:paraId="2F52E5F6" w14:textId="77777777" w:rsidR="00161C10" w:rsidRDefault="00CE2C8C">
      <w:pPr>
        <w:pStyle w:val="Heading4"/>
        <w:numPr>
          <w:ilvl w:val="3"/>
          <w:numId w:val="12"/>
        </w:numPr>
        <w:tabs>
          <w:tab w:val="left" w:pos="1073"/>
        </w:tabs>
        <w:spacing w:before="290"/>
        <w:ind w:hanging="355"/>
        <w:jc w:val="left"/>
      </w:pPr>
      <w:r>
        <w:t>Reply</w:t>
      </w:r>
      <w:r>
        <w:rPr>
          <w:spacing w:val="-2"/>
        </w:rPr>
        <w:t xml:space="preserve"> </w:t>
      </w:r>
      <w:r>
        <w:t>to</w:t>
      </w:r>
      <w:r>
        <w:rPr>
          <w:spacing w:val="-2"/>
        </w:rPr>
        <w:t xml:space="preserve"> </w:t>
      </w:r>
      <w:r>
        <w:t>issues</w:t>
      </w:r>
      <w:r>
        <w:rPr>
          <w:spacing w:val="-4"/>
        </w:rPr>
        <w:t xml:space="preserve"> </w:t>
      </w:r>
      <w:r>
        <w:t>raised</w:t>
      </w:r>
      <w:r>
        <w:rPr>
          <w:spacing w:val="-2"/>
        </w:rPr>
        <w:t xml:space="preserve"> </w:t>
      </w:r>
      <w:r>
        <w:t>in</w:t>
      </w:r>
      <w:r>
        <w:rPr>
          <w:spacing w:val="-1"/>
        </w:rPr>
        <w:t xml:space="preserve"> </w:t>
      </w:r>
      <w:r>
        <w:t>paragraph</w:t>
      </w:r>
      <w:r>
        <w:rPr>
          <w:spacing w:val="-2"/>
        </w:rPr>
        <w:t xml:space="preserve"> </w:t>
      </w:r>
      <w:r>
        <w:t>20a</w:t>
      </w:r>
      <w:r>
        <w:rPr>
          <w:spacing w:val="-2"/>
        </w:rPr>
        <w:t xml:space="preserve"> </w:t>
      </w:r>
      <w:r>
        <w:t>of</w:t>
      </w:r>
      <w:r>
        <w:rPr>
          <w:spacing w:val="-5"/>
        </w:rPr>
        <w:t xml:space="preserve"> </w:t>
      </w:r>
      <w:r>
        <w:t>the</w:t>
      </w:r>
      <w:r>
        <w:rPr>
          <w:spacing w:val="-2"/>
        </w:rPr>
        <w:t xml:space="preserve"> </w:t>
      </w:r>
      <w:r>
        <w:t>list</w:t>
      </w:r>
      <w:r>
        <w:rPr>
          <w:spacing w:val="-1"/>
        </w:rPr>
        <w:t xml:space="preserve"> </w:t>
      </w:r>
      <w:r>
        <w:t>of</w:t>
      </w:r>
      <w:r>
        <w:rPr>
          <w:spacing w:val="-4"/>
        </w:rPr>
        <w:t xml:space="preserve"> </w:t>
      </w:r>
      <w:r>
        <w:rPr>
          <w:spacing w:val="-2"/>
        </w:rPr>
        <w:t>issues</w:t>
      </w:r>
    </w:p>
    <w:p w14:paraId="1A4CCFDB" w14:textId="77777777" w:rsidR="00161C10" w:rsidRDefault="00CE2C8C">
      <w:pPr>
        <w:spacing w:before="159" w:line="276" w:lineRule="auto"/>
        <w:ind w:left="360" w:right="364"/>
        <w:jc w:val="both"/>
        <w:rPr>
          <w:rFonts w:ascii="Arial" w:hAnsi="Arial"/>
          <w:i/>
          <w:sz w:val="24"/>
        </w:rPr>
      </w:pPr>
      <w:r>
        <w:rPr>
          <w:rFonts w:ascii="Arial" w:hAnsi="Arial"/>
          <w:i/>
          <w:sz w:val="24"/>
        </w:rPr>
        <w:t xml:space="preserve">The European Union states it is “working on a legislative proposal for a European Disability Card. The aim is to promote the free movement of persons with disabilities by ensuring that disability status is mutually </w:t>
      </w:r>
      <w:proofErr w:type="spellStart"/>
      <w:r>
        <w:rPr>
          <w:rFonts w:ascii="Arial" w:hAnsi="Arial"/>
          <w:i/>
          <w:sz w:val="24"/>
        </w:rPr>
        <w:t>recognised</w:t>
      </w:r>
      <w:proofErr w:type="spellEnd"/>
      <w:r>
        <w:rPr>
          <w:rFonts w:ascii="Arial" w:hAnsi="Arial"/>
          <w:i/>
          <w:sz w:val="24"/>
        </w:rPr>
        <w:t xml:space="preserve"> across the EU.”</w:t>
      </w:r>
    </w:p>
    <w:p w14:paraId="0FCED4F6" w14:textId="77777777" w:rsidR="00161C10" w:rsidRDefault="00CE2C8C">
      <w:pPr>
        <w:pStyle w:val="BodyText"/>
        <w:spacing w:before="121" w:line="276" w:lineRule="auto"/>
        <w:ind w:left="360" w:right="356"/>
        <w:jc w:val="both"/>
      </w:pPr>
      <w:r>
        <w:t>ENIL welcomes the adoption of the European Disability Card and the European Parking Card</w:t>
      </w:r>
      <w:r>
        <w:rPr>
          <w:spacing w:val="-5"/>
        </w:rPr>
        <w:t xml:space="preserve"> </w:t>
      </w:r>
      <w:r>
        <w:t>in</w:t>
      </w:r>
      <w:r>
        <w:rPr>
          <w:spacing w:val="-5"/>
        </w:rPr>
        <w:t xml:space="preserve"> </w:t>
      </w:r>
      <w:r>
        <w:t>2024.</w:t>
      </w:r>
      <w:r>
        <w:rPr>
          <w:spacing w:val="-7"/>
        </w:rPr>
        <w:t xml:space="preserve"> </w:t>
      </w:r>
      <w:r>
        <w:t>It</w:t>
      </w:r>
      <w:r>
        <w:rPr>
          <w:spacing w:val="-5"/>
        </w:rPr>
        <w:t xml:space="preserve"> </w:t>
      </w:r>
      <w:r>
        <w:t>is</w:t>
      </w:r>
      <w:r>
        <w:rPr>
          <w:spacing w:val="-6"/>
        </w:rPr>
        <w:t xml:space="preserve"> </w:t>
      </w:r>
      <w:r>
        <w:t>a</w:t>
      </w:r>
      <w:r>
        <w:rPr>
          <w:spacing w:val="-7"/>
        </w:rPr>
        <w:t xml:space="preserve"> </w:t>
      </w:r>
      <w:r>
        <w:t>positive</w:t>
      </w:r>
      <w:r>
        <w:rPr>
          <w:spacing w:val="-5"/>
        </w:rPr>
        <w:t xml:space="preserve"> </w:t>
      </w:r>
      <w:r>
        <w:t>development,</w:t>
      </w:r>
      <w:r>
        <w:rPr>
          <w:spacing w:val="-5"/>
        </w:rPr>
        <w:t xml:space="preserve"> </w:t>
      </w:r>
      <w:r>
        <w:t>which</w:t>
      </w:r>
      <w:r>
        <w:rPr>
          <w:spacing w:val="-5"/>
        </w:rPr>
        <w:t xml:space="preserve"> </w:t>
      </w:r>
      <w:r>
        <w:t>will</w:t>
      </w:r>
      <w:r>
        <w:rPr>
          <w:spacing w:val="-6"/>
        </w:rPr>
        <w:t xml:space="preserve"> </w:t>
      </w:r>
      <w:r>
        <w:t>facilitate</w:t>
      </w:r>
      <w:r>
        <w:rPr>
          <w:spacing w:val="-4"/>
        </w:rPr>
        <w:t xml:space="preserve"> </w:t>
      </w:r>
      <w:r>
        <w:t>free</w:t>
      </w:r>
      <w:r>
        <w:rPr>
          <w:spacing w:val="-5"/>
        </w:rPr>
        <w:t xml:space="preserve"> </w:t>
      </w:r>
      <w:r>
        <w:t>movement</w:t>
      </w:r>
      <w:r>
        <w:rPr>
          <w:spacing w:val="-7"/>
        </w:rPr>
        <w:t xml:space="preserve"> </w:t>
      </w:r>
      <w:r>
        <w:t>of</w:t>
      </w:r>
      <w:r>
        <w:rPr>
          <w:spacing w:val="-7"/>
        </w:rPr>
        <w:t xml:space="preserve"> </w:t>
      </w:r>
      <w:r>
        <w:t>disabled people within the EU and allow holders to access to special conditions or preferential treatments offered by private or public providers.</w:t>
      </w:r>
    </w:p>
    <w:p w14:paraId="0CCC9106" w14:textId="77777777" w:rsidR="00161C10" w:rsidRDefault="00161C10">
      <w:pPr>
        <w:pStyle w:val="BodyText"/>
        <w:spacing w:line="276" w:lineRule="auto"/>
        <w:jc w:val="both"/>
        <w:sectPr w:rsidR="00161C10">
          <w:pgSz w:w="12240" w:h="15840"/>
          <w:pgMar w:top="1360" w:right="1080" w:bottom="1540" w:left="1080" w:header="0" w:footer="1274" w:gutter="0"/>
          <w:cols w:space="720"/>
        </w:sectPr>
      </w:pPr>
    </w:p>
    <w:p w14:paraId="1EE45ABD" w14:textId="77777777" w:rsidR="00161C10" w:rsidRDefault="00CE2C8C">
      <w:pPr>
        <w:pStyle w:val="BodyText"/>
        <w:spacing w:before="81" w:line="276" w:lineRule="auto"/>
        <w:ind w:left="360" w:right="352"/>
        <w:jc w:val="both"/>
      </w:pPr>
      <w:r>
        <w:lastRenderedPageBreak/>
        <w:t>ENIL regrets that the new European Disability Card will not eliminate all barriers to the freedom of movement for disabled people, especially those who would like to move to another EU country for longer periods of time - to take up work, join family members or for other reasons.</w:t>
      </w:r>
    </w:p>
    <w:p w14:paraId="3979CA0B" w14:textId="77777777" w:rsidR="00161C10" w:rsidRDefault="00CE2C8C">
      <w:pPr>
        <w:pStyle w:val="BodyText"/>
        <w:spacing w:before="120"/>
        <w:ind w:left="360"/>
        <w:jc w:val="both"/>
      </w:pPr>
      <w:r>
        <w:t>The</w:t>
      </w:r>
      <w:r>
        <w:rPr>
          <w:spacing w:val="-3"/>
        </w:rPr>
        <w:t xml:space="preserve"> </w:t>
      </w:r>
      <w:r>
        <w:t>remaining</w:t>
      </w:r>
      <w:r>
        <w:rPr>
          <w:spacing w:val="-3"/>
        </w:rPr>
        <w:t xml:space="preserve"> </w:t>
      </w:r>
      <w:r>
        <w:t>barriers</w:t>
      </w:r>
      <w:r>
        <w:rPr>
          <w:spacing w:val="-2"/>
        </w:rPr>
        <w:t xml:space="preserve"> </w:t>
      </w:r>
      <w:r>
        <w:t>to</w:t>
      </w:r>
      <w:r>
        <w:rPr>
          <w:spacing w:val="-3"/>
        </w:rPr>
        <w:t xml:space="preserve"> </w:t>
      </w:r>
      <w:r>
        <w:t>the</w:t>
      </w:r>
      <w:r>
        <w:rPr>
          <w:spacing w:val="-3"/>
        </w:rPr>
        <w:t xml:space="preserve"> </w:t>
      </w:r>
      <w:r>
        <w:t>freedom</w:t>
      </w:r>
      <w:r>
        <w:rPr>
          <w:spacing w:val="-3"/>
        </w:rPr>
        <w:t xml:space="preserve"> </w:t>
      </w:r>
      <w:r>
        <w:t>of</w:t>
      </w:r>
      <w:r>
        <w:rPr>
          <w:spacing w:val="-5"/>
        </w:rPr>
        <w:t xml:space="preserve"> </w:t>
      </w:r>
      <w:r>
        <w:t>movement</w:t>
      </w:r>
      <w:r>
        <w:rPr>
          <w:spacing w:val="-2"/>
        </w:rPr>
        <w:t xml:space="preserve"> include:</w:t>
      </w:r>
    </w:p>
    <w:p w14:paraId="1048E97B" w14:textId="77777777" w:rsidR="00161C10" w:rsidRDefault="00CE2C8C">
      <w:pPr>
        <w:pStyle w:val="ListParagraph"/>
        <w:numPr>
          <w:ilvl w:val="0"/>
          <w:numId w:val="9"/>
        </w:numPr>
        <w:tabs>
          <w:tab w:val="left" w:pos="1080"/>
        </w:tabs>
        <w:spacing w:before="160" w:line="266" w:lineRule="auto"/>
        <w:ind w:left="1080" w:right="360" w:hanging="360"/>
        <w:rPr>
          <w:rFonts w:ascii="Arial MT" w:hAnsi="Arial MT"/>
          <w:sz w:val="24"/>
        </w:rPr>
      </w:pPr>
      <w:r>
        <w:rPr>
          <w:rFonts w:ascii="Arial MT" w:hAnsi="Arial MT"/>
          <w:sz w:val="24"/>
        </w:rPr>
        <w:t>The</w:t>
      </w:r>
      <w:r>
        <w:rPr>
          <w:rFonts w:ascii="Arial MT" w:hAnsi="Arial MT"/>
          <w:spacing w:val="-4"/>
          <w:sz w:val="24"/>
        </w:rPr>
        <w:t xml:space="preserve"> </w:t>
      </w:r>
      <w:r>
        <w:rPr>
          <w:rFonts w:ascii="Arial MT" w:hAnsi="Arial MT"/>
          <w:sz w:val="24"/>
        </w:rPr>
        <w:t>lack</w:t>
      </w:r>
      <w:r>
        <w:rPr>
          <w:rFonts w:ascii="Arial MT" w:hAnsi="Arial MT"/>
          <w:spacing w:val="-6"/>
          <w:sz w:val="24"/>
        </w:rPr>
        <w:t xml:space="preserve"> </w:t>
      </w:r>
      <w:r>
        <w:rPr>
          <w:rFonts w:ascii="Arial MT" w:hAnsi="Arial MT"/>
          <w:sz w:val="24"/>
        </w:rPr>
        <w:t>of</w:t>
      </w:r>
      <w:r>
        <w:rPr>
          <w:rFonts w:ascii="Arial MT" w:hAnsi="Arial MT"/>
          <w:spacing w:val="-4"/>
          <w:sz w:val="24"/>
        </w:rPr>
        <w:t xml:space="preserve"> </w:t>
      </w:r>
      <w:r>
        <w:rPr>
          <w:rFonts w:ascii="Arial MT" w:hAnsi="Arial MT"/>
          <w:sz w:val="24"/>
        </w:rPr>
        <w:t>full</w:t>
      </w:r>
      <w:r>
        <w:rPr>
          <w:rFonts w:ascii="Arial MT" w:hAnsi="Arial MT"/>
          <w:spacing w:val="-8"/>
          <w:sz w:val="24"/>
        </w:rPr>
        <w:t xml:space="preserve"> </w:t>
      </w:r>
      <w:r>
        <w:rPr>
          <w:rFonts w:ascii="Arial MT" w:hAnsi="Arial MT"/>
          <w:sz w:val="24"/>
        </w:rPr>
        <w:t>mutual</w:t>
      </w:r>
      <w:r>
        <w:rPr>
          <w:rFonts w:ascii="Arial MT" w:hAnsi="Arial MT"/>
          <w:spacing w:val="-7"/>
          <w:sz w:val="24"/>
        </w:rPr>
        <w:t xml:space="preserve"> </w:t>
      </w:r>
      <w:r>
        <w:rPr>
          <w:rFonts w:ascii="Arial MT" w:hAnsi="Arial MT"/>
          <w:sz w:val="24"/>
        </w:rPr>
        <w:t>recognition</w:t>
      </w:r>
      <w:r>
        <w:rPr>
          <w:rFonts w:ascii="Arial MT" w:hAnsi="Arial MT"/>
          <w:spacing w:val="-4"/>
          <w:sz w:val="24"/>
        </w:rPr>
        <w:t xml:space="preserve"> </w:t>
      </w:r>
      <w:r>
        <w:rPr>
          <w:rFonts w:ascii="Arial MT" w:hAnsi="Arial MT"/>
          <w:sz w:val="24"/>
        </w:rPr>
        <w:t>of</w:t>
      </w:r>
      <w:r>
        <w:rPr>
          <w:rFonts w:ascii="Arial MT" w:hAnsi="Arial MT"/>
          <w:spacing w:val="-6"/>
          <w:sz w:val="24"/>
        </w:rPr>
        <w:t xml:space="preserve"> </w:t>
      </w:r>
      <w:r>
        <w:rPr>
          <w:rFonts w:ascii="Arial MT" w:hAnsi="Arial MT"/>
          <w:sz w:val="24"/>
        </w:rPr>
        <w:t>disability</w:t>
      </w:r>
      <w:r>
        <w:rPr>
          <w:rFonts w:ascii="Arial MT" w:hAnsi="Arial MT"/>
          <w:spacing w:val="-4"/>
          <w:sz w:val="24"/>
        </w:rPr>
        <w:t xml:space="preserve"> </w:t>
      </w:r>
      <w:r>
        <w:rPr>
          <w:rFonts w:ascii="Arial MT" w:hAnsi="Arial MT"/>
          <w:sz w:val="24"/>
        </w:rPr>
        <w:t>status</w:t>
      </w:r>
      <w:r>
        <w:rPr>
          <w:rFonts w:ascii="Arial MT" w:hAnsi="Arial MT"/>
          <w:spacing w:val="-7"/>
          <w:sz w:val="24"/>
        </w:rPr>
        <w:t xml:space="preserve"> </w:t>
      </w:r>
      <w:r>
        <w:rPr>
          <w:rFonts w:ascii="Arial MT" w:hAnsi="Arial MT"/>
          <w:sz w:val="24"/>
        </w:rPr>
        <w:t>and</w:t>
      </w:r>
      <w:r>
        <w:rPr>
          <w:rFonts w:ascii="Arial MT" w:hAnsi="Arial MT"/>
          <w:spacing w:val="-4"/>
          <w:sz w:val="24"/>
        </w:rPr>
        <w:t xml:space="preserve"> </w:t>
      </w:r>
      <w:r>
        <w:rPr>
          <w:rFonts w:ascii="Arial MT" w:hAnsi="Arial MT"/>
          <w:sz w:val="24"/>
        </w:rPr>
        <w:t>the</w:t>
      </w:r>
      <w:r>
        <w:rPr>
          <w:rFonts w:ascii="Arial MT" w:hAnsi="Arial MT"/>
          <w:spacing w:val="-4"/>
          <w:sz w:val="24"/>
        </w:rPr>
        <w:t xml:space="preserve"> </w:t>
      </w:r>
      <w:r>
        <w:rPr>
          <w:rFonts w:ascii="Arial MT" w:hAnsi="Arial MT"/>
          <w:sz w:val="24"/>
        </w:rPr>
        <w:t>lack</w:t>
      </w:r>
      <w:r>
        <w:rPr>
          <w:rFonts w:ascii="Arial MT" w:hAnsi="Arial MT"/>
          <w:spacing w:val="-6"/>
          <w:sz w:val="24"/>
        </w:rPr>
        <w:t xml:space="preserve"> </w:t>
      </w:r>
      <w:r>
        <w:rPr>
          <w:rFonts w:ascii="Arial MT" w:hAnsi="Arial MT"/>
          <w:sz w:val="24"/>
        </w:rPr>
        <w:t>of</w:t>
      </w:r>
      <w:r>
        <w:rPr>
          <w:rFonts w:ascii="Arial MT" w:hAnsi="Arial MT"/>
          <w:spacing w:val="-6"/>
          <w:sz w:val="24"/>
        </w:rPr>
        <w:t xml:space="preserve"> </w:t>
      </w:r>
      <w:r>
        <w:rPr>
          <w:rFonts w:ascii="Arial MT" w:hAnsi="Arial MT"/>
          <w:sz w:val="24"/>
        </w:rPr>
        <w:t>recognition</w:t>
      </w:r>
      <w:r>
        <w:rPr>
          <w:rFonts w:ascii="Arial MT" w:hAnsi="Arial MT"/>
          <w:spacing w:val="-4"/>
          <w:sz w:val="24"/>
        </w:rPr>
        <w:t xml:space="preserve"> </w:t>
      </w:r>
      <w:r>
        <w:rPr>
          <w:rFonts w:ascii="Arial MT" w:hAnsi="Arial MT"/>
          <w:sz w:val="24"/>
        </w:rPr>
        <w:t>of entitlements to disability specific social services, such as personal assistance</w:t>
      </w:r>
    </w:p>
    <w:p w14:paraId="5831D339" w14:textId="77777777" w:rsidR="00161C10" w:rsidRDefault="00CE2C8C">
      <w:pPr>
        <w:pStyle w:val="BodyText"/>
        <w:spacing w:before="129" w:line="276" w:lineRule="auto"/>
        <w:ind w:left="360" w:right="354"/>
        <w:jc w:val="both"/>
      </w:pPr>
      <w:r>
        <w:t xml:space="preserve">When moving between Member States, disabled people </w:t>
      </w:r>
      <w:proofErr w:type="gramStart"/>
      <w:r>
        <w:t>have to</w:t>
      </w:r>
      <w:proofErr w:type="gramEnd"/>
      <w:r>
        <w:t xml:space="preserve"> pass the national disability assessment of the new country. In addition, personal assistance or personal budget</w:t>
      </w:r>
      <w:r>
        <w:rPr>
          <w:spacing w:val="-2"/>
        </w:rPr>
        <w:t xml:space="preserve"> </w:t>
      </w:r>
      <w:r>
        <w:t>eligibility</w:t>
      </w:r>
      <w:r>
        <w:rPr>
          <w:spacing w:val="-2"/>
        </w:rPr>
        <w:t xml:space="preserve"> </w:t>
      </w:r>
      <w:r>
        <w:t>tests</w:t>
      </w:r>
      <w:r>
        <w:rPr>
          <w:spacing w:val="-4"/>
        </w:rPr>
        <w:t xml:space="preserve"> </w:t>
      </w:r>
      <w:proofErr w:type="gramStart"/>
      <w:r>
        <w:t>have</w:t>
      </w:r>
      <w:r>
        <w:rPr>
          <w:spacing w:val="-2"/>
        </w:rPr>
        <w:t xml:space="preserve"> </w:t>
      </w:r>
      <w:r>
        <w:t>to</w:t>
      </w:r>
      <w:proofErr w:type="gramEnd"/>
      <w:r>
        <w:rPr>
          <w:spacing w:val="-2"/>
        </w:rPr>
        <w:t xml:space="preserve"> </w:t>
      </w:r>
      <w:r>
        <w:t>be</w:t>
      </w:r>
      <w:r>
        <w:rPr>
          <w:spacing w:val="-2"/>
        </w:rPr>
        <w:t xml:space="preserve"> </w:t>
      </w:r>
      <w:r>
        <w:t>completed,</w:t>
      </w:r>
      <w:r>
        <w:rPr>
          <w:spacing w:val="-4"/>
        </w:rPr>
        <w:t xml:space="preserve"> </w:t>
      </w:r>
      <w:r>
        <w:t>if</w:t>
      </w:r>
      <w:r>
        <w:rPr>
          <w:spacing w:val="-2"/>
        </w:rPr>
        <w:t xml:space="preserve"> </w:t>
      </w:r>
      <w:r>
        <w:t>those</w:t>
      </w:r>
      <w:r>
        <w:rPr>
          <w:spacing w:val="-2"/>
        </w:rPr>
        <w:t xml:space="preserve"> </w:t>
      </w:r>
      <w:r>
        <w:t>schemes</w:t>
      </w:r>
      <w:r>
        <w:rPr>
          <w:spacing w:val="-2"/>
        </w:rPr>
        <w:t xml:space="preserve"> </w:t>
      </w:r>
      <w:r>
        <w:t>are</w:t>
      </w:r>
      <w:r>
        <w:rPr>
          <w:spacing w:val="-2"/>
        </w:rPr>
        <w:t xml:space="preserve"> </w:t>
      </w:r>
      <w:r>
        <w:t>available</w:t>
      </w:r>
      <w:r>
        <w:rPr>
          <w:spacing w:val="-2"/>
        </w:rPr>
        <w:t xml:space="preserve"> </w:t>
      </w:r>
      <w:r>
        <w:t>at</w:t>
      </w:r>
      <w:r>
        <w:rPr>
          <w:spacing w:val="-4"/>
        </w:rPr>
        <w:t xml:space="preserve"> </w:t>
      </w:r>
      <w:r>
        <w:t>all.</w:t>
      </w:r>
      <w:r>
        <w:rPr>
          <w:spacing w:val="-2"/>
        </w:rPr>
        <w:t xml:space="preserve"> </w:t>
      </w:r>
      <w:r>
        <w:t>Going through such assessments can take years and for disabled people who require support on an everyday basis, waiting for support for years is not an option. In practice, some Member States take confirmed disability status from countries they deem “reliable” into account</w:t>
      </w:r>
      <w:r>
        <w:rPr>
          <w:spacing w:val="-6"/>
        </w:rPr>
        <w:t xml:space="preserve"> </w:t>
      </w:r>
      <w:r>
        <w:t>when</w:t>
      </w:r>
      <w:r>
        <w:rPr>
          <w:spacing w:val="-8"/>
        </w:rPr>
        <w:t xml:space="preserve"> </w:t>
      </w:r>
      <w:r>
        <w:t>deciding</w:t>
      </w:r>
      <w:r>
        <w:rPr>
          <w:spacing w:val="-8"/>
        </w:rPr>
        <w:t xml:space="preserve"> </w:t>
      </w:r>
      <w:r>
        <w:t>about</w:t>
      </w:r>
      <w:r>
        <w:rPr>
          <w:spacing w:val="-6"/>
        </w:rPr>
        <w:t xml:space="preserve"> </w:t>
      </w:r>
      <w:r>
        <w:t>granting</w:t>
      </w:r>
      <w:r>
        <w:rPr>
          <w:spacing w:val="-6"/>
        </w:rPr>
        <w:t xml:space="preserve"> </w:t>
      </w:r>
      <w:r>
        <w:t>a</w:t>
      </w:r>
      <w:r>
        <w:rPr>
          <w:spacing w:val="-6"/>
        </w:rPr>
        <w:t xml:space="preserve"> </w:t>
      </w:r>
      <w:r>
        <w:t>disability</w:t>
      </w:r>
      <w:r>
        <w:rPr>
          <w:spacing w:val="-7"/>
        </w:rPr>
        <w:t xml:space="preserve"> </w:t>
      </w:r>
      <w:r>
        <w:t>status</w:t>
      </w:r>
      <w:r>
        <w:rPr>
          <w:spacing w:val="-7"/>
        </w:rPr>
        <w:t xml:space="preserve"> </w:t>
      </w:r>
      <w:r>
        <w:t>according</w:t>
      </w:r>
      <w:r>
        <w:rPr>
          <w:spacing w:val="-6"/>
        </w:rPr>
        <w:t xml:space="preserve"> </w:t>
      </w:r>
      <w:r>
        <w:t>to</w:t>
      </w:r>
      <w:r>
        <w:rPr>
          <w:spacing w:val="-8"/>
        </w:rPr>
        <w:t xml:space="preserve"> </w:t>
      </w:r>
      <w:r>
        <w:t>their</w:t>
      </w:r>
      <w:r>
        <w:rPr>
          <w:spacing w:val="-8"/>
        </w:rPr>
        <w:t xml:space="preserve"> </w:t>
      </w:r>
      <w:r>
        <w:t>national</w:t>
      </w:r>
      <w:r>
        <w:rPr>
          <w:spacing w:val="-7"/>
        </w:rPr>
        <w:t xml:space="preserve"> </w:t>
      </w:r>
      <w:r>
        <w:t>rules, but this is very inconsistent.</w:t>
      </w:r>
    </w:p>
    <w:p w14:paraId="0A810CC0" w14:textId="77777777" w:rsidR="00161C10" w:rsidRDefault="00CE2C8C">
      <w:pPr>
        <w:pStyle w:val="BodyText"/>
        <w:spacing w:before="121" w:line="276" w:lineRule="auto"/>
        <w:ind w:left="360" w:right="355"/>
        <w:jc w:val="both"/>
      </w:pPr>
      <w:r>
        <w:t xml:space="preserve">On the contrary, when it comes to non-disability specific social services, like unemployment benefits, health insurance claims or pension entitlements, </w:t>
      </w:r>
      <w:hyperlink r:id="rId65">
        <w:r>
          <w:rPr>
            <w:color w:val="1154CC"/>
            <w:u w:val="single" w:color="1154CC"/>
          </w:rPr>
          <w:t>Regulation</w:t>
        </w:r>
      </w:hyperlink>
      <w:r>
        <w:rPr>
          <w:color w:val="1154CC"/>
        </w:rPr>
        <w:t xml:space="preserve"> </w:t>
      </w:r>
      <w:hyperlink r:id="rId66">
        <w:r>
          <w:rPr>
            <w:color w:val="1154CC"/>
            <w:u w:val="single" w:color="1154CC"/>
          </w:rPr>
          <w:t>883/2004</w:t>
        </w:r>
      </w:hyperlink>
      <w:r>
        <w:rPr>
          <w:color w:val="1154CC"/>
        </w:rPr>
        <w:t xml:space="preserve"> </w:t>
      </w:r>
      <w:r>
        <w:t xml:space="preserve">obliges Member States to </w:t>
      </w:r>
      <w:proofErr w:type="spellStart"/>
      <w:r>
        <w:t>recognise</w:t>
      </w:r>
      <w:proofErr w:type="spellEnd"/>
      <w:r>
        <w:t xml:space="preserve"> access to EU citizens without any additional assessments.</w:t>
      </w:r>
    </w:p>
    <w:p w14:paraId="13D2C977" w14:textId="77777777" w:rsidR="00161C10" w:rsidRDefault="00CE2C8C">
      <w:pPr>
        <w:pStyle w:val="ListParagraph"/>
        <w:numPr>
          <w:ilvl w:val="0"/>
          <w:numId w:val="9"/>
        </w:numPr>
        <w:tabs>
          <w:tab w:val="left" w:pos="1079"/>
        </w:tabs>
        <w:spacing w:before="121"/>
        <w:ind w:left="1079" w:hanging="359"/>
        <w:rPr>
          <w:rFonts w:ascii="Arial MT" w:hAnsi="Arial MT"/>
          <w:sz w:val="24"/>
        </w:rPr>
      </w:pPr>
      <w:r>
        <w:rPr>
          <w:rFonts w:ascii="Arial MT" w:hAnsi="Arial MT"/>
          <w:sz w:val="24"/>
        </w:rPr>
        <w:t>The</w:t>
      </w:r>
      <w:r>
        <w:rPr>
          <w:rFonts w:ascii="Arial MT" w:hAnsi="Arial MT"/>
          <w:spacing w:val="-3"/>
          <w:sz w:val="24"/>
        </w:rPr>
        <w:t xml:space="preserve"> </w:t>
      </w:r>
      <w:r>
        <w:rPr>
          <w:rFonts w:ascii="Arial MT" w:hAnsi="Arial MT"/>
          <w:sz w:val="24"/>
        </w:rPr>
        <w:t>uneven</w:t>
      </w:r>
      <w:r>
        <w:rPr>
          <w:rFonts w:ascii="Arial MT" w:hAnsi="Arial MT"/>
          <w:spacing w:val="-2"/>
          <w:sz w:val="24"/>
        </w:rPr>
        <w:t xml:space="preserve"> </w:t>
      </w:r>
      <w:r>
        <w:rPr>
          <w:rFonts w:ascii="Arial MT" w:hAnsi="Arial MT"/>
          <w:sz w:val="24"/>
        </w:rPr>
        <w:t>access</w:t>
      </w:r>
      <w:r>
        <w:rPr>
          <w:rFonts w:ascii="Arial MT" w:hAnsi="Arial MT"/>
          <w:spacing w:val="-2"/>
          <w:sz w:val="24"/>
        </w:rPr>
        <w:t xml:space="preserve"> </w:t>
      </w:r>
      <w:r>
        <w:rPr>
          <w:rFonts w:ascii="Arial MT" w:hAnsi="Arial MT"/>
          <w:sz w:val="24"/>
        </w:rPr>
        <w:t>to</w:t>
      </w:r>
      <w:r>
        <w:rPr>
          <w:rFonts w:ascii="Arial MT" w:hAnsi="Arial MT"/>
          <w:spacing w:val="-5"/>
          <w:sz w:val="24"/>
        </w:rPr>
        <w:t xml:space="preserve"> </w:t>
      </w:r>
      <w:r>
        <w:rPr>
          <w:rFonts w:ascii="Arial MT" w:hAnsi="Arial MT"/>
          <w:sz w:val="24"/>
        </w:rPr>
        <w:t>self-directed</w:t>
      </w:r>
      <w:r>
        <w:rPr>
          <w:rFonts w:ascii="Arial MT" w:hAnsi="Arial MT"/>
          <w:spacing w:val="-2"/>
          <w:sz w:val="24"/>
        </w:rPr>
        <w:t xml:space="preserve"> </w:t>
      </w:r>
      <w:r>
        <w:rPr>
          <w:rFonts w:ascii="Arial MT" w:hAnsi="Arial MT"/>
          <w:sz w:val="24"/>
        </w:rPr>
        <w:t>support</w:t>
      </w:r>
      <w:r>
        <w:rPr>
          <w:rFonts w:ascii="Arial MT" w:hAnsi="Arial MT"/>
          <w:spacing w:val="-5"/>
          <w:sz w:val="24"/>
        </w:rPr>
        <w:t xml:space="preserve"> </w:t>
      </w:r>
      <w:r>
        <w:rPr>
          <w:rFonts w:ascii="Arial MT" w:hAnsi="Arial MT"/>
          <w:sz w:val="24"/>
        </w:rPr>
        <w:t>across</w:t>
      </w:r>
      <w:r>
        <w:rPr>
          <w:rFonts w:ascii="Arial MT" w:hAnsi="Arial MT"/>
          <w:spacing w:val="-2"/>
          <w:sz w:val="24"/>
        </w:rPr>
        <w:t xml:space="preserve"> </w:t>
      </w:r>
      <w:r>
        <w:rPr>
          <w:rFonts w:ascii="Arial MT" w:hAnsi="Arial MT"/>
          <w:sz w:val="24"/>
        </w:rPr>
        <w:t>the</w:t>
      </w:r>
      <w:r>
        <w:rPr>
          <w:rFonts w:ascii="Arial MT" w:hAnsi="Arial MT"/>
          <w:spacing w:val="-4"/>
          <w:sz w:val="24"/>
        </w:rPr>
        <w:t xml:space="preserve"> </w:t>
      </w:r>
      <w:r>
        <w:rPr>
          <w:rFonts w:ascii="Arial MT" w:hAnsi="Arial MT"/>
          <w:spacing w:val="-5"/>
          <w:sz w:val="24"/>
        </w:rPr>
        <w:t>EU</w:t>
      </w:r>
    </w:p>
    <w:p w14:paraId="1887980D" w14:textId="77777777" w:rsidR="00161C10" w:rsidRDefault="00CE2C8C">
      <w:pPr>
        <w:pStyle w:val="BodyText"/>
        <w:spacing w:before="151" w:line="273" w:lineRule="auto"/>
        <w:ind w:left="360" w:right="357"/>
        <w:jc w:val="both"/>
      </w:pPr>
      <w:proofErr w:type="gramStart"/>
      <w:r>
        <w:t>At the moment</w:t>
      </w:r>
      <w:proofErr w:type="gramEnd"/>
      <w:r>
        <w:t>, some Member States have personal assistance and/or personal budget schemes</w:t>
      </w:r>
      <w:r>
        <w:rPr>
          <w:spacing w:val="-17"/>
        </w:rPr>
        <w:t xml:space="preserve"> </w:t>
      </w:r>
      <w:r>
        <w:t>and</w:t>
      </w:r>
      <w:r>
        <w:rPr>
          <w:spacing w:val="-17"/>
        </w:rPr>
        <w:t xml:space="preserve"> </w:t>
      </w:r>
      <w:r>
        <w:t>some</w:t>
      </w:r>
      <w:r>
        <w:rPr>
          <w:spacing w:val="-16"/>
        </w:rPr>
        <w:t xml:space="preserve"> </w:t>
      </w:r>
      <w:r>
        <w:t>do</w:t>
      </w:r>
      <w:r>
        <w:rPr>
          <w:spacing w:val="-17"/>
        </w:rPr>
        <w:t xml:space="preserve"> </w:t>
      </w:r>
      <w:r>
        <w:t>not.</w:t>
      </w:r>
      <w:r>
        <w:rPr>
          <w:spacing w:val="-17"/>
        </w:rPr>
        <w:t xml:space="preserve"> </w:t>
      </w:r>
      <w:r>
        <w:t>The</w:t>
      </w:r>
      <w:r>
        <w:rPr>
          <w:spacing w:val="-17"/>
        </w:rPr>
        <w:t xml:space="preserve"> </w:t>
      </w:r>
      <w:r>
        <w:t>uneven</w:t>
      </w:r>
      <w:r>
        <w:rPr>
          <w:spacing w:val="-16"/>
        </w:rPr>
        <w:t xml:space="preserve"> </w:t>
      </w:r>
      <w:r>
        <w:t>state</w:t>
      </w:r>
      <w:r>
        <w:rPr>
          <w:spacing w:val="-17"/>
        </w:rPr>
        <w:t xml:space="preserve"> </w:t>
      </w:r>
      <w:r>
        <w:t>of</w:t>
      </w:r>
      <w:r>
        <w:rPr>
          <w:spacing w:val="-17"/>
        </w:rPr>
        <w:t xml:space="preserve"> </w:t>
      </w:r>
      <w:r>
        <w:t>self-directed</w:t>
      </w:r>
      <w:r>
        <w:rPr>
          <w:spacing w:val="-16"/>
        </w:rPr>
        <w:t xml:space="preserve"> </w:t>
      </w:r>
      <w:r>
        <w:t>support</w:t>
      </w:r>
      <w:r>
        <w:rPr>
          <w:spacing w:val="-17"/>
        </w:rPr>
        <w:t xml:space="preserve"> </w:t>
      </w:r>
      <w:r>
        <w:t>in</w:t>
      </w:r>
      <w:r>
        <w:rPr>
          <w:spacing w:val="-17"/>
        </w:rPr>
        <w:t xml:space="preserve"> </w:t>
      </w:r>
      <w:r>
        <w:t>the</w:t>
      </w:r>
      <w:r>
        <w:rPr>
          <w:spacing w:val="-16"/>
        </w:rPr>
        <w:t xml:space="preserve"> </w:t>
      </w:r>
      <w:r>
        <w:t>EU</w:t>
      </w:r>
      <w:r>
        <w:rPr>
          <w:spacing w:val="-17"/>
        </w:rPr>
        <w:t xml:space="preserve"> </w:t>
      </w:r>
      <w:r>
        <w:t xml:space="preserve">constitutes a further barrier to the freedom of movement of disabled people, including disabled </w:t>
      </w:r>
      <w:r>
        <w:rPr>
          <w:spacing w:val="-2"/>
        </w:rPr>
        <w:t>workers</w:t>
      </w:r>
      <w:hyperlink w:anchor="_bookmark5" w:history="1">
        <w:r>
          <w:rPr>
            <w:spacing w:val="-2"/>
            <w:position w:val="8"/>
            <w:sz w:val="16"/>
          </w:rPr>
          <w:t>6</w:t>
        </w:r>
      </w:hyperlink>
      <w:r>
        <w:rPr>
          <w:spacing w:val="-2"/>
        </w:rPr>
        <w:t>.</w:t>
      </w:r>
    </w:p>
    <w:p w14:paraId="24E0D895" w14:textId="77777777" w:rsidR="00161C10" w:rsidRDefault="00CE2C8C">
      <w:pPr>
        <w:spacing w:before="126" w:line="276" w:lineRule="auto"/>
        <w:ind w:left="360" w:right="356"/>
        <w:jc w:val="both"/>
        <w:rPr>
          <w:sz w:val="24"/>
        </w:rPr>
      </w:pPr>
      <w:r>
        <w:rPr>
          <w:sz w:val="24"/>
        </w:rPr>
        <w:t>The</w:t>
      </w:r>
      <w:r>
        <w:rPr>
          <w:spacing w:val="-5"/>
          <w:sz w:val="24"/>
        </w:rPr>
        <w:t xml:space="preserve"> </w:t>
      </w:r>
      <w:r>
        <w:rPr>
          <w:sz w:val="24"/>
        </w:rPr>
        <w:t>EU</w:t>
      </w:r>
      <w:r>
        <w:rPr>
          <w:spacing w:val="-6"/>
          <w:sz w:val="24"/>
        </w:rPr>
        <w:t xml:space="preserve"> </w:t>
      </w:r>
      <w:r>
        <w:rPr>
          <w:sz w:val="24"/>
        </w:rPr>
        <w:t>should</w:t>
      </w:r>
      <w:r>
        <w:rPr>
          <w:spacing w:val="-5"/>
          <w:sz w:val="24"/>
        </w:rPr>
        <w:t xml:space="preserve"> </w:t>
      </w:r>
      <w:r>
        <w:rPr>
          <w:sz w:val="24"/>
        </w:rPr>
        <w:t>take</w:t>
      </w:r>
      <w:r>
        <w:rPr>
          <w:spacing w:val="-7"/>
          <w:sz w:val="24"/>
        </w:rPr>
        <w:t xml:space="preserve"> </w:t>
      </w:r>
      <w:r>
        <w:rPr>
          <w:sz w:val="24"/>
        </w:rPr>
        <w:t>more</w:t>
      </w:r>
      <w:r>
        <w:rPr>
          <w:spacing w:val="-5"/>
          <w:sz w:val="24"/>
        </w:rPr>
        <w:t xml:space="preserve"> </w:t>
      </w:r>
      <w:r>
        <w:rPr>
          <w:sz w:val="24"/>
        </w:rPr>
        <w:t>steps</w:t>
      </w:r>
      <w:r>
        <w:rPr>
          <w:spacing w:val="-5"/>
          <w:sz w:val="24"/>
        </w:rPr>
        <w:t xml:space="preserve"> </w:t>
      </w:r>
      <w:r>
        <w:rPr>
          <w:sz w:val="24"/>
        </w:rPr>
        <w:t>to</w:t>
      </w:r>
      <w:r>
        <w:rPr>
          <w:spacing w:val="-6"/>
          <w:sz w:val="24"/>
        </w:rPr>
        <w:t xml:space="preserve"> </w:t>
      </w:r>
      <w:r>
        <w:rPr>
          <w:sz w:val="24"/>
        </w:rPr>
        <w:t>ensure</w:t>
      </w:r>
      <w:r>
        <w:rPr>
          <w:spacing w:val="-8"/>
          <w:sz w:val="24"/>
        </w:rPr>
        <w:t xml:space="preserve"> </w:t>
      </w:r>
      <w:r>
        <w:rPr>
          <w:sz w:val="24"/>
        </w:rPr>
        <w:t>all</w:t>
      </w:r>
      <w:r>
        <w:rPr>
          <w:spacing w:val="-6"/>
          <w:sz w:val="24"/>
        </w:rPr>
        <w:t xml:space="preserve"> </w:t>
      </w:r>
      <w:r>
        <w:rPr>
          <w:sz w:val="24"/>
        </w:rPr>
        <w:t>Member</w:t>
      </w:r>
      <w:r>
        <w:rPr>
          <w:spacing w:val="-6"/>
          <w:sz w:val="24"/>
        </w:rPr>
        <w:t xml:space="preserve"> </w:t>
      </w:r>
      <w:r>
        <w:rPr>
          <w:sz w:val="24"/>
        </w:rPr>
        <w:t>States</w:t>
      </w:r>
      <w:r>
        <w:rPr>
          <w:spacing w:val="-5"/>
          <w:sz w:val="24"/>
        </w:rPr>
        <w:t xml:space="preserve"> </w:t>
      </w:r>
      <w:r>
        <w:rPr>
          <w:sz w:val="24"/>
        </w:rPr>
        <w:t>introduce</w:t>
      </w:r>
      <w:r>
        <w:rPr>
          <w:spacing w:val="-5"/>
          <w:sz w:val="24"/>
        </w:rPr>
        <w:t xml:space="preserve"> </w:t>
      </w:r>
      <w:r>
        <w:rPr>
          <w:sz w:val="24"/>
        </w:rPr>
        <w:t>personal</w:t>
      </w:r>
      <w:r>
        <w:rPr>
          <w:spacing w:val="-8"/>
          <w:sz w:val="24"/>
        </w:rPr>
        <w:t xml:space="preserve"> </w:t>
      </w:r>
      <w:r>
        <w:rPr>
          <w:sz w:val="24"/>
        </w:rPr>
        <w:t>budgets and/or personal assistance schemes, allowing disabled people to take up employment within</w:t>
      </w:r>
      <w:r>
        <w:rPr>
          <w:spacing w:val="-11"/>
          <w:sz w:val="24"/>
        </w:rPr>
        <w:t xml:space="preserve"> </w:t>
      </w:r>
      <w:r>
        <w:rPr>
          <w:sz w:val="24"/>
        </w:rPr>
        <w:t>their</w:t>
      </w:r>
      <w:r>
        <w:rPr>
          <w:spacing w:val="-13"/>
          <w:sz w:val="24"/>
        </w:rPr>
        <w:t xml:space="preserve"> </w:t>
      </w:r>
      <w:r>
        <w:rPr>
          <w:sz w:val="24"/>
        </w:rPr>
        <w:t>own</w:t>
      </w:r>
      <w:r>
        <w:rPr>
          <w:spacing w:val="-11"/>
          <w:sz w:val="24"/>
        </w:rPr>
        <w:t xml:space="preserve"> </w:t>
      </w:r>
      <w:r>
        <w:rPr>
          <w:sz w:val="24"/>
        </w:rPr>
        <w:t>and</w:t>
      </w:r>
      <w:r>
        <w:rPr>
          <w:spacing w:val="-11"/>
          <w:sz w:val="24"/>
        </w:rPr>
        <w:t xml:space="preserve"> </w:t>
      </w:r>
      <w:r>
        <w:rPr>
          <w:sz w:val="24"/>
        </w:rPr>
        <w:t>other</w:t>
      </w:r>
      <w:r>
        <w:rPr>
          <w:spacing w:val="-12"/>
          <w:sz w:val="24"/>
        </w:rPr>
        <w:t xml:space="preserve"> </w:t>
      </w:r>
      <w:r>
        <w:rPr>
          <w:sz w:val="24"/>
        </w:rPr>
        <w:t>Member</w:t>
      </w:r>
      <w:r>
        <w:rPr>
          <w:spacing w:val="-12"/>
          <w:sz w:val="24"/>
        </w:rPr>
        <w:t xml:space="preserve"> </w:t>
      </w:r>
      <w:r>
        <w:rPr>
          <w:sz w:val="24"/>
        </w:rPr>
        <w:t>States.</w:t>
      </w:r>
      <w:r>
        <w:rPr>
          <w:spacing w:val="-11"/>
          <w:sz w:val="24"/>
        </w:rPr>
        <w:t xml:space="preserve"> </w:t>
      </w:r>
      <w:r>
        <w:rPr>
          <w:sz w:val="24"/>
        </w:rPr>
        <w:t>The</w:t>
      </w:r>
      <w:r>
        <w:rPr>
          <w:spacing w:val="-11"/>
          <w:sz w:val="24"/>
        </w:rPr>
        <w:t xml:space="preserve"> </w:t>
      </w:r>
      <w:r>
        <w:rPr>
          <w:sz w:val="24"/>
        </w:rPr>
        <w:t>EU</w:t>
      </w:r>
      <w:r>
        <w:rPr>
          <w:spacing w:val="-12"/>
          <w:sz w:val="24"/>
        </w:rPr>
        <w:t xml:space="preserve"> </w:t>
      </w:r>
      <w:r>
        <w:rPr>
          <w:sz w:val="24"/>
        </w:rPr>
        <w:t>has</w:t>
      </w:r>
      <w:r>
        <w:rPr>
          <w:spacing w:val="-12"/>
          <w:sz w:val="24"/>
        </w:rPr>
        <w:t xml:space="preserve"> </w:t>
      </w:r>
      <w:r>
        <w:rPr>
          <w:sz w:val="24"/>
        </w:rPr>
        <w:t>competence</w:t>
      </w:r>
      <w:r>
        <w:rPr>
          <w:spacing w:val="-13"/>
          <w:sz w:val="24"/>
        </w:rPr>
        <w:t xml:space="preserve"> </w:t>
      </w:r>
      <w:r>
        <w:rPr>
          <w:sz w:val="24"/>
        </w:rPr>
        <w:t>to</w:t>
      </w:r>
      <w:r>
        <w:rPr>
          <w:spacing w:val="-10"/>
          <w:sz w:val="24"/>
        </w:rPr>
        <w:t xml:space="preserve"> </w:t>
      </w:r>
      <w:r>
        <w:rPr>
          <w:sz w:val="24"/>
        </w:rPr>
        <w:t>develop</w:t>
      </w:r>
      <w:r>
        <w:rPr>
          <w:spacing w:val="-10"/>
          <w:sz w:val="24"/>
        </w:rPr>
        <w:t xml:space="preserve"> </w:t>
      </w:r>
      <w:r>
        <w:rPr>
          <w:sz w:val="24"/>
        </w:rPr>
        <w:t>additional legal</w:t>
      </w:r>
      <w:r>
        <w:rPr>
          <w:spacing w:val="-13"/>
          <w:sz w:val="24"/>
        </w:rPr>
        <w:t xml:space="preserve"> </w:t>
      </w:r>
      <w:r>
        <w:rPr>
          <w:sz w:val="24"/>
        </w:rPr>
        <w:t>instruments</w:t>
      </w:r>
      <w:r>
        <w:rPr>
          <w:spacing w:val="-12"/>
          <w:sz w:val="24"/>
        </w:rPr>
        <w:t xml:space="preserve"> </w:t>
      </w:r>
      <w:r>
        <w:rPr>
          <w:sz w:val="24"/>
        </w:rPr>
        <w:t>based</w:t>
      </w:r>
      <w:r>
        <w:rPr>
          <w:spacing w:val="-12"/>
          <w:sz w:val="24"/>
        </w:rPr>
        <w:t xml:space="preserve"> </w:t>
      </w:r>
      <w:r>
        <w:rPr>
          <w:sz w:val="24"/>
        </w:rPr>
        <w:t>on</w:t>
      </w:r>
      <w:r>
        <w:rPr>
          <w:spacing w:val="-12"/>
          <w:sz w:val="24"/>
        </w:rPr>
        <w:t xml:space="preserve"> </w:t>
      </w:r>
      <w:r>
        <w:rPr>
          <w:sz w:val="24"/>
        </w:rPr>
        <w:t>Articles</w:t>
      </w:r>
      <w:r>
        <w:rPr>
          <w:spacing w:val="-12"/>
          <w:sz w:val="24"/>
        </w:rPr>
        <w:t xml:space="preserve"> </w:t>
      </w:r>
      <w:r>
        <w:rPr>
          <w:sz w:val="24"/>
        </w:rPr>
        <w:t>151</w:t>
      </w:r>
      <w:r>
        <w:rPr>
          <w:spacing w:val="-12"/>
          <w:sz w:val="24"/>
        </w:rPr>
        <w:t xml:space="preserve"> </w:t>
      </w:r>
      <w:r>
        <w:rPr>
          <w:sz w:val="24"/>
        </w:rPr>
        <w:t>and</w:t>
      </w:r>
      <w:r>
        <w:rPr>
          <w:spacing w:val="-12"/>
          <w:sz w:val="24"/>
        </w:rPr>
        <w:t xml:space="preserve"> </w:t>
      </w:r>
      <w:r>
        <w:rPr>
          <w:sz w:val="24"/>
        </w:rPr>
        <w:t>153</w:t>
      </w:r>
      <w:r>
        <w:rPr>
          <w:spacing w:val="-12"/>
          <w:sz w:val="24"/>
        </w:rPr>
        <w:t xml:space="preserve"> </w:t>
      </w:r>
      <w:r>
        <w:rPr>
          <w:sz w:val="24"/>
        </w:rPr>
        <w:t>of</w:t>
      </w:r>
      <w:r>
        <w:rPr>
          <w:spacing w:val="-12"/>
          <w:sz w:val="24"/>
        </w:rPr>
        <w:t xml:space="preserve"> </w:t>
      </w:r>
      <w:r>
        <w:rPr>
          <w:sz w:val="24"/>
        </w:rPr>
        <w:t>TFEU,</w:t>
      </w:r>
      <w:r>
        <w:rPr>
          <w:spacing w:val="-12"/>
          <w:sz w:val="24"/>
        </w:rPr>
        <w:t xml:space="preserve"> </w:t>
      </w:r>
      <w:r>
        <w:rPr>
          <w:sz w:val="24"/>
        </w:rPr>
        <w:t>which</w:t>
      </w:r>
      <w:r>
        <w:rPr>
          <w:spacing w:val="-12"/>
          <w:sz w:val="24"/>
        </w:rPr>
        <w:t xml:space="preserve"> </w:t>
      </w:r>
      <w:r>
        <w:rPr>
          <w:sz w:val="24"/>
        </w:rPr>
        <w:t>states,</w:t>
      </w:r>
      <w:r>
        <w:rPr>
          <w:spacing w:val="-12"/>
          <w:sz w:val="24"/>
        </w:rPr>
        <w:t xml:space="preserve"> </w:t>
      </w:r>
      <w:r>
        <w:rPr>
          <w:sz w:val="24"/>
        </w:rPr>
        <w:t>respectively,</w:t>
      </w:r>
      <w:r>
        <w:rPr>
          <w:spacing w:val="-13"/>
          <w:sz w:val="24"/>
        </w:rPr>
        <w:t xml:space="preserve"> </w:t>
      </w:r>
      <w:r>
        <w:rPr>
          <w:sz w:val="24"/>
        </w:rPr>
        <w:t>that EU</w:t>
      </w:r>
      <w:r>
        <w:rPr>
          <w:spacing w:val="-1"/>
          <w:sz w:val="24"/>
        </w:rPr>
        <w:t xml:space="preserve"> </w:t>
      </w:r>
      <w:r>
        <w:rPr>
          <w:sz w:val="24"/>
        </w:rPr>
        <w:t>social</w:t>
      </w:r>
      <w:r>
        <w:rPr>
          <w:spacing w:val="-1"/>
          <w:sz w:val="24"/>
        </w:rPr>
        <w:t xml:space="preserve"> </w:t>
      </w:r>
      <w:r>
        <w:rPr>
          <w:sz w:val="24"/>
        </w:rPr>
        <w:t>policy</w:t>
      </w:r>
      <w:r>
        <w:rPr>
          <w:spacing w:val="-1"/>
          <w:sz w:val="24"/>
        </w:rPr>
        <w:t xml:space="preserve"> </w:t>
      </w:r>
      <w:r>
        <w:rPr>
          <w:sz w:val="24"/>
        </w:rPr>
        <w:t>has</w:t>
      </w:r>
      <w:r>
        <w:rPr>
          <w:spacing w:val="-3"/>
          <w:sz w:val="24"/>
        </w:rPr>
        <w:t xml:space="preserve"> </w:t>
      </w:r>
      <w:r>
        <w:rPr>
          <w:sz w:val="24"/>
        </w:rPr>
        <w:t>the objective to</w:t>
      </w:r>
      <w:r>
        <w:rPr>
          <w:spacing w:val="-2"/>
          <w:sz w:val="24"/>
        </w:rPr>
        <w:t xml:space="preserve"> </w:t>
      </w:r>
      <w:r>
        <w:rPr>
          <w:sz w:val="24"/>
        </w:rPr>
        <w:t>promote</w:t>
      </w:r>
      <w:r>
        <w:rPr>
          <w:spacing w:val="-3"/>
          <w:sz w:val="24"/>
        </w:rPr>
        <w:t xml:space="preserve"> </w:t>
      </w:r>
      <w:r>
        <w:rPr>
          <w:sz w:val="24"/>
        </w:rPr>
        <w:t>“</w:t>
      </w:r>
      <w:r>
        <w:rPr>
          <w:rFonts w:ascii="Arial" w:hAnsi="Arial"/>
          <w:i/>
          <w:sz w:val="24"/>
        </w:rPr>
        <w:t>employment, improved living and working conditions,</w:t>
      </w:r>
      <w:r>
        <w:rPr>
          <w:rFonts w:ascii="Arial" w:hAnsi="Arial"/>
          <w:i/>
          <w:spacing w:val="-5"/>
          <w:sz w:val="24"/>
        </w:rPr>
        <w:t xml:space="preserve"> </w:t>
      </w:r>
      <w:r>
        <w:rPr>
          <w:rFonts w:ascii="Arial" w:hAnsi="Arial"/>
          <w:i/>
          <w:sz w:val="24"/>
        </w:rPr>
        <w:t>so</w:t>
      </w:r>
      <w:r>
        <w:rPr>
          <w:rFonts w:ascii="Arial" w:hAnsi="Arial"/>
          <w:i/>
          <w:spacing w:val="-7"/>
          <w:sz w:val="24"/>
        </w:rPr>
        <w:t xml:space="preserve"> </w:t>
      </w:r>
      <w:r>
        <w:rPr>
          <w:rFonts w:ascii="Arial" w:hAnsi="Arial"/>
          <w:i/>
          <w:sz w:val="24"/>
        </w:rPr>
        <w:t>as</w:t>
      </w:r>
      <w:r>
        <w:rPr>
          <w:rFonts w:ascii="Arial" w:hAnsi="Arial"/>
          <w:i/>
          <w:spacing w:val="-8"/>
          <w:sz w:val="24"/>
        </w:rPr>
        <w:t xml:space="preserve"> </w:t>
      </w:r>
      <w:r>
        <w:rPr>
          <w:rFonts w:ascii="Arial" w:hAnsi="Arial"/>
          <w:i/>
          <w:sz w:val="24"/>
        </w:rPr>
        <w:t>to</w:t>
      </w:r>
      <w:r>
        <w:rPr>
          <w:rFonts w:ascii="Arial" w:hAnsi="Arial"/>
          <w:i/>
          <w:spacing w:val="-4"/>
          <w:sz w:val="24"/>
        </w:rPr>
        <w:t xml:space="preserve"> </w:t>
      </w:r>
      <w:r>
        <w:rPr>
          <w:rFonts w:ascii="Arial" w:hAnsi="Arial"/>
          <w:i/>
          <w:sz w:val="24"/>
        </w:rPr>
        <w:t>make</w:t>
      </w:r>
      <w:r>
        <w:rPr>
          <w:rFonts w:ascii="Arial" w:hAnsi="Arial"/>
          <w:i/>
          <w:spacing w:val="-5"/>
          <w:sz w:val="24"/>
        </w:rPr>
        <w:t xml:space="preserve"> </w:t>
      </w:r>
      <w:r>
        <w:rPr>
          <w:rFonts w:ascii="Arial" w:hAnsi="Arial"/>
          <w:i/>
          <w:sz w:val="24"/>
        </w:rPr>
        <w:t>possible</w:t>
      </w:r>
      <w:r>
        <w:rPr>
          <w:rFonts w:ascii="Arial" w:hAnsi="Arial"/>
          <w:i/>
          <w:spacing w:val="-7"/>
          <w:sz w:val="24"/>
        </w:rPr>
        <w:t xml:space="preserve"> </w:t>
      </w:r>
      <w:r>
        <w:rPr>
          <w:rFonts w:ascii="Arial" w:hAnsi="Arial"/>
          <w:i/>
          <w:sz w:val="24"/>
        </w:rPr>
        <w:t>their</w:t>
      </w:r>
      <w:r>
        <w:rPr>
          <w:rFonts w:ascii="Arial" w:hAnsi="Arial"/>
          <w:i/>
          <w:spacing w:val="-7"/>
          <w:sz w:val="24"/>
        </w:rPr>
        <w:t xml:space="preserve"> </w:t>
      </w:r>
      <w:proofErr w:type="spellStart"/>
      <w:r>
        <w:rPr>
          <w:rFonts w:ascii="Arial" w:hAnsi="Arial"/>
          <w:i/>
          <w:sz w:val="24"/>
        </w:rPr>
        <w:t>harmonisation</w:t>
      </w:r>
      <w:proofErr w:type="spellEnd"/>
      <w:r>
        <w:rPr>
          <w:sz w:val="24"/>
        </w:rPr>
        <w:t>”</w:t>
      </w:r>
      <w:r>
        <w:rPr>
          <w:spacing w:val="-6"/>
          <w:sz w:val="24"/>
        </w:rPr>
        <w:t xml:space="preserve"> </w:t>
      </w:r>
      <w:r>
        <w:rPr>
          <w:sz w:val="24"/>
        </w:rPr>
        <w:t>and</w:t>
      </w:r>
      <w:r>
        <w:rPr>
          <w:spacing w:val="-7"/>
          <w:sz w:val="24"/>
        </w:rPr>
        <w:t xml:space="preserve"> </w:t>
      </w:r>
      <w:r>
        <w:rPr>
          <w:sz w:val="24"/>
        </w:rPr>
        <w:t>allow</w:t>
      </w:r>
      <w:r>
        <w:rPr>
          <w:spacing w:val="-8"/>
          <w:sz w:val="24"/>
        </w:rPr>
        <w:t xml:space="preserve"> </w:t>
      </w:r>
      <w:r>
        <w:rPr>
          <w:sz w:val="24"/>
        </w:rPr>
        <w:t>the</w:t>
      </w:r>
      <w:r>
        <w:rPr>
          <w:spacing w:val="-5"/>
          <w:sz w:val="24"/>
        </w:rPr>
        <w:t xml:space="preserve"> </w:t>
      </w:r>
      <w:r>
        <w:rPr>
          <w:sz w:val="24"/>
        </w:rPr>
        <w:t>EU</w:t>
      </w:r>
      <w:r>
        <w:rPr>
          <w:spacing w:val="-8"/>
          <w:sz w:val="24"/>
        </w:rPr>
        <w:t xml:space="preserve"> </w:t>
      </w:r>
      <w:r>
        <w:rPr>
          <w:sz w:val="24"/>
        </w:rPr>
        <w:t>to</w:t>
      </w:r>
      <w:r>
        <w:rPr>
          <w:spacing w:val="-6"/>
          <w:sz w:val="24"/>
        </w:rPr>
        <w:t xml:space="preserve"> </w:t>
      </w:r>
      <w:r>
        <w:rPr>
          <w:sz w:val="24"/>
        </w:rPr>
        <w:t>“</w:t>
      </w:r>
      <w:r>
        <w:rPr>
          <w:rFonts w:ascii="Arial" w:hAnsi="Arial"/>
          <w:i/>
          <w:sz w:val="24"/>
        </w:rPr>
        <w:t>support</w:t>
      </w:r>
      <w:r>
        <w:rPr>
          <w:rFonts w:ascii="Arial" w:hAnsi="Arial"/>
          <w:i/>
          <w:spacing w:val="-8"/>
          <w:sz w:val="24"/>
        </w:rPr>
        <w:t xml:space="preserve"> </w:t>
      </w:r>
      <w:r>
        <w:rPr>
          <w:rFonts w:ascii="Arial" w:hAnsi="Arial"/>
          <w:i/>
          <w:sz w:val="24"/>
        </w:rPr>
        <w:t>and complement</w:t>
      </w:r>
      <w:r>
        <w:rPr>
          <w:rFonts w:ascii="Arial" w:hAnsi="Arial"/>
          <w:i/>
          <w:spacing w:val="-9"/>
          <w:sz w:val="24"/>
        </w:rPr>
        <w:t xml:space="preserve"> </w:t>
      </w:r>
      <w:r>
        <w:rPr>
          <w:rFonts w:ascii="Arial" w:hAnsi="Arial"/>
          <w:i/>
          <w:sz w:val="24"/>
        </w:rPr>
        <w:t>the</w:t>
      </w:r>
      <w:r>
        <w:rPr>
          <w:rFonts w:ascii="Arial" w:hAnsi="Arial"/>
          <w:i/>
          <w:spacing w:val="-8"/>
          <w:sz w:val="24"/>
        </w:rPr>
        <w:t xml:space="preserve"> </w:t>
      </w:r>
      <w:r>
        <w:rPr>
          <w:rFonts w:ascii="Arial" w:hAnsi="Arial"/>
          <w:i/>
          <w:sz w:val="24"/>
        </w:rPr>
        <w:t>activities</w:t>
      </w:r>
      <w:r>
        <w:rPr>
          <w:rFonts w:ascii="Arial" w:hAnsi="Arial"/>
          <w:i/>
          <w:spacing w:val="-9"/>
          <w:sz w:val="24"/>
        </w:rPr>
        <w:t xml:space="preserve"> </w:t>
      </w:r>
      <w:r>
        <w:rPr>
          <w:rFonts w:ascii="Arial" w:hAnsi="Arial"/>
          <w:i/>
          <w:sz w:val="24"/>
        </w:rPr>
        <w:t>of</w:t>
      </w:r>
      <w:r>
        <w:rPr>
          <w:rFonts w:ascii="Arial" w:hAnsi="Arial"/>
          <w:i/>
          <w:spacing w:val="-9"/>
          <w:sz w:val="24"/>
        </w:rPr>
        <w:t xml:space="preserve"> </w:t>
      </w:r>
      <w:r>
        <w:rPr>
          <w:rFonts w:ascii="Arial" w:hAnsi="Arial"/>
          <w:i/>
          <w:sz w:val="24"/>
        </w:rPr>
        <w:t>the</w:t>
      </w:r>
      <w:r>
        <w:rPr>
          <w:rFonts w:ascii="Arial" w:hAnsi="Arial"/>
          <w:i/>
          <w:spacing w:val="-8"/>
          <w:sz w:val="24"/>
        </w:rPr>
        <w:t xml:space="preserve"> </w:t>
      </w:r>
      <w:r>
        <w:rPr>
          <w:rFonts w:ascii="Arial" w:hAnsi="Arial"/>
          <w:i/>
          <w:sz w:val="24"/>
        </w:rPr>
        <w:t>Member</w:t>
      </w:r>
      <w:r>
        <w:rPr>
          <w:rFonts w:ascii="Arial" w:hAnsi="Arial"/>
          <w:i/>
          <w:spacing w:val="-10"/>
          <w:sz w:val="24"/>
        </w:rPr>
        <w:t xml:space="preserve"> </w:t>
      </w:r>
      <w:r>
        <w:rPr>
          <w:rFonts w:ascii="Arial" w:hAnsi="Arial"/>
          <w:i/>
          <w:sz w:val="24"/>
        </w:rPr>
        <w:t>States</w:t>
      </w:r>
      <w:r>
        <w:rPr>
          <w:sz w:val="24"/>
        </w:rPr>
        <w:t>”</w:t>
      </w:r>
      <w:r>
        <w:rPr>
          <w:spacing w:val="-10"/>
          <w:sz w:val="24"/>
        </w:rPr>
        <w:t xml:space="preserve"> </w:t>
      </w:r>
      <w:r>
        <w:rPr>
          <w:sz w:val="24"/>
        </w:rPr>
        <w:t>in</w:t>
      </w:r>
      <w:r>
        <w:rPr>
          <w:spacing w:val="-9"/>
          <w:sz w:val="24"/>
        </w:rPr>
        <w:t xml:space="preserve"> </w:t>
      </w:r>
      <w:r>
        <w:rPr>
          <w:sz w:val="24"/>
        </w:rPr>
        <w:t>the</w:t>
      </w:r>
      <w:r>
        <w:rPr>
          <w:spacing w:val="-8"/>
          <w:sz w:val="24"/>
        </w:rPr>
        <w:t xml:space="preserve"> </w:t>
      </w:r>
      <w:r>
        <w:rPr>
          <w:sz w:val="24"/>
        </w:rPr>
        <w:t>areas</w:t>
      </w:r>
      <w:r>
        <w:rPr>
          <w:spacing w:val="-9"/>
          <w:sz w:val="24"/>
        </w:rPr>
        <w:t xml:space="preserve"> </w:t>
      </w:r>
      <w:r>
        <w:rPr>
          <w:sz w:val="24"/>
        </w:rPr>
        <w:t>of</w:t>
      </w:r>
      <w:r>
        <w:rPr>
          <w:spacing w:val="-9"/>
          <w:sz w:val="24"/>
        </w:rPr>
        <w:t xml:space="preserve"> </w:t>
      </w:r>
      <w:r>
        <w:rPr>
          <w:sz w:val="24"/>
        </w:rPr>
        <w:t>social</w:t>
      </w:r>
      <w:r>
        <w:rPr>
          <w:spacing w:val="-9"/>
          <w:sz w:val="24"/>
        </w:rPr>
        <w:t xml:space="preserve"> </w:t>
      </w:r>
      <w:r>
        <w:rPr>
          <w:sz w:val="24"/>
        </w:rPr>
        <w:t>security</w:t>
      </w:r>
      <w:r>
        <w:rPr>
          <w:spacing w:val="-9"/>
          <w:sz w:val="24"/>
        </w:rPr>
        <w:t xml:space="preserve"> </w:t>
      </w:r>
      <w:r>
        <w:rPr>
          <w:sz w:val="24"/>
        </w:rPr>
        <w:t>and</w:t>
      </w:r>
      <w:r>
        <w:rPr>
          <w:spacing w:val="-8"/>
          <w:sz w:val="24"/>
        </w:rPr>
        <w:t xml:space="preserve"> </w:t>
      </w:r>
      <w:r>
        <w:rPr>
          <w:sz w:val="24"/>
        </w:rPr>
        <w:t>social protection of workers.</w:t>
      </w:r>
    </w:p>
    <w:p w14:paraId="60E185E6" w14:textId="138C54D3" w:rsidR="00161C10" w:rsidRDefault="00CE2C8C">
      <w:pPr>
        <w:spacing w:before="121"/>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46DAA41E" w14:textId="77777777" w:rsidR="00161C10" w:rsidRDefault="00161C10">
      <w:pPr>
        <w:pStyle w:val="BodyText"/>
        <w:rPr>
          <w:rFonts w:ascii="Arial"/>
          <w:b/>
          <w:i/>
          <w:sz w:val="20"/>
        </w:rPr>
      </w:pPr>
    </w:p>
    <w:p w14:paraId="4CD6EB63" w14:textId="77777777" w:rsidR="00161C10" w:rsidRDefault="00161C10">
      <w:pPr>
        <w:pStyle w:val="BodyText"/>
        <w:rPr>
          <w:rFonts w:ascii="Arial"/>
          <w:b/>
          <w:i/>
          <w:sz w:val="20"/>
        </w:rPr>
      </w:pPr>
    </w:p>
    <w:p w14:paraId="6C1122A8" w14:textId="77777777" w:rsidR="00161C10" w:rsidRDefault="00CE2C8C">
      <w:pPr>
        <w:pStyle w:val="BodyText"/>
        <w:spacing w:before="106"/>
        <w:rPr>
          <w:rFonts w:ascii="Arial"/>
          <w:b/>
          <w:i/>
          <w:sz w:val="20"/>
        </w:rPr>
      </w:pPr>
      <w:r>
        <w:rPr>
          <w:rFonts w:ascii="Arial"/>
          <w:b/>
          <w:i/>
          <w:noProof/>
          <w:sz w:val="20"/>
        </w:rPr>
        <mc:AlternateContent>
          <mc:Choice Requires="wps">
            <w:drawing>
              <wp:anchor distT="0" distB="0" distL="0" distR="0" simplePos="0" relativeHeight="487596032" behindDoc="1" locked="0" layoutInCell="1" allowOverlap="1" wp14:anchorId="109D6D96" wp14:editId="0281C998">
                <wp:simplePos x="0" y="0"/>
                <wp:positionH relativeFrom="page">
                  <wp:posOffset>914704</wp:posOffset>
                </wp:positionH>
                <wp:positionV relativeFrom="paragraph">
                  <wp:posOffset>229001</wp:posOffset>
                </wp:positionV>
                <wp:extent cx="1829435"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0B5860" id="Graphic 27" o:spid="_x0000_s1026" style="position:absolute;margin-left:1in;margin-top:18.05pt;width:144.05pt;height:.6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" path="m1829054,l,,,7620r1829054,l1829054,xe" fillcolor="black" stroked="f">
                <v:path arrowok="t"/>
                <w10:wrap type="topAndBottom" anchorx="page"/>
              </v:shape>
            </w:pict>
          </mc:Fallback>
        </mc:AlternateContent>
      </w:r>
    </w:p>
    <w:p w14:paraId="686B843C" w14:textId="77777777" w:rsidR="00161C10" w:rsidRDefault="00CE2C8C">
      <w:pPr>
        <w:spacing w:before="91"/>
        <w:ind w:left="360"/>
        <w:rPr>
          <w:sz w:val="20"/>
        </w:rPr>
      </w:pPr>
      <w:bookmarkStart w:id="5" w:name="_bookmark5"/>
      <w:bookmarkEnd w:id="5"/>
      <w:r>
        <w:rPr>
          <w:position w:val="6"/>
          <w:sz w:val="13"/>
        </w:rPr>
        <w:t>6</w:t>
      </w:r>
      <w:r>
        <w:rPr>
          <w:spacing w:val="16"/>
          <w:position w:val="6"/>
          <w:sz w:val="13"/>
        </w:rPr>
        <w:t xml:space="preserve"> </w:t>
      </w:r>
      <w:r>
        <w:rPr>
          <w:sz w:val="20"/>
        </w:rPr>
        <w:t>According</w:t>
      </w:r>
      <w:r>
        <w:rPr>
          <w:spacing w:val="-3"/>
          <w:sz w:val="20"/>
        </w:rPr>
        <w:t xml:space="preserve"> </w:t>
      </w:r>
      <w:r>
        <w:rPr>
          <w:sz w:val="20"/>
        </w:rPr>
        <w:t>to</w:t>
      </w:r>
      <w:r>
        <w:rPr>
          <w:spacing w:val="-1"/>
          <w:sz w:val="20"/>
        </w:rPr>
        <w:t xml:space="preserve"> </w:t>
      </w:r>
      <w:r>
        <w:rPr>
          <w:sz w:val="20"/>
        </w:rPr>
        <w:t>article</w:t>
      </w:r>
      <w:r>
        <w:rPr>
          <w:spacing w:val="-3"/>
          <w:sz w:val="20"/>
        </w:rPr>
        <w:t xml:space="preserve"> </w:t>
      </w:r>
      <w:r>
        <w:rPr>
          <w:sz w:val="20"/>
        </w:rPr>
        <w:t>45</w:t>
      </w:r>
      <w:r>
        <w:rPr>
          <w:spacing w:val="-3"/>
          <w:sz w:val="20"/>
        </w:rPr>
        <w:t xml:space="preserve"> </w:t>
      </w:r>
      <w:r>
        <w:rPr>
          <w:sz w:val="20"/>
        </w:rPr>
        <w:t>of</w:t>
      </w:r>
      <w:r>
        <w:rPr>
          <w:spacing w:val="-1"/>
          <w:sz w:val="20"/>
        </w:rPr>
        <w:t xml:space="preserve"> </w:t>
      </w:r>
      <w:r>
        <w:rPr>
          <w:sz w:val="20"/>
        </w:rPr>
        <w:t>the</w:t>
      </w:r>
      <w:r>
        <w:rPr>
          <w:spacing w:val="-4"/>
          <w:sz w:val="20"/>
        </w:rPr>
        <w:t xml:space="preserve"> </w:t>
      </w:r>
      <w:r>
        <w:rPr>
          <w:sz w:val="20"/>
        </w:rPr>
        <w:t>Treaty on</w:t>
      </w:r>
      <w:r>
        <w:rPr>
          <w:spacing w:val="-4"/>
          <w:sz w:val="20"/>
        </w:rPr>
        <w:t xml:space="preserve"> </w:t>
      </w:r>
      <w:r>
        <w:rPr>
          <w:sz w:val="20"/>
        </w:rPr>
        <w:t>the</w:t>
      </w:r>
      <w:r>
        <w:rPr>
          <w:spacing w:val="-4"/>
          <w:sz w:val="20"/>
        </w:rPr>
        <w:t xml:space="preserve"> </w:t>
      </w:r>
      <w:r>
        <w:rPr>
          <w:sz w:val="20"/>
        </w:rPr>
        <w:t>Functioning</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EU</w:t>
      </w:r>
      <w:r>
        <w:rPr>
          <w:spacing w:val="-3"/>
          <w:sz w:val="20"/>
        </w:rPr>
        <w:t xml:space="preserve"> </w:t>
      </w:r>
      <w:r>
        <w:rPr>
          <w:sz w:val="20"/>
        </w:rPr>
        <w:t>(TFEU),</w:t>
      </w:r>
      <w:r>
        <w:rPr>
          <w:spacing w:val="-1"/>
          <w:sz w:val="20"/>
        </w:rPr>
        <w:t xml:space="preserve"> </w:t>
      </w:r>
      <w:r>
        <w:rPr>
          <w:sz w:val="20"/>
        </w:rPr>
        <w:t>all</w:t>
      </w:r>
      <w:r>
        <w:rPr>
          <w:spacing w:val="-4"/>
          <w:sz w:val="20"/>
        </w:rPr>
        <w:t xml:space="preserve"> </w:t>
      </w:r>
      <w:r>
        <w:rPr>
          <w:sz w:val="20"/>
        </w:rPr>
        <w:t>workers</w:t>
      </w:r>
      <w:r>
        <w:rPr>
          <w:spacing w:val="-1"/>
          <w:sz w:val="20"/>
        </w:rPr>
        <w:t xml:space="preserve"> </w:t>
      </w:r>
      <w:r>
        <w:rPr>
          <w:sz w:val="20"/>
        </w:rPr>
        <w:t>are</w:t>
      </w:r>
      <w:r>
        <w:rPr>
          <w:spacing w:val="-3"/>
          <w:sz w:val="20"/>
        </w:rPr>
        <w:t xml:space="preserve"> </w:t>
      </w:r>
      <w:r>
        <w:rPr>
          <w:sz w:val="20"/>
        </w:rPr>
        <w:t>free</w:t>
      </w:r>
      <w:r>
        <w:rPr>
          <w:spacing w:val="-3"/>
          <w:sz w:val="20"/>
        </w:rPr>
        <w:t xml:space="preserve"> </w:t>
      </w:r>
      <w:r>
        <w:rPr>
          <w:sz w:val="20"/>
        </w:rPr>
        <w:t>to</w:t>
      </w:r>
      <w:r>
        <w:rPr>
          <w:spacing w:val="-2"/>
          <w:sz w:val="20"/>
        </w:rPr>
        <w:t xml:space="preserve"> </w:t>
      </w:r>
      <w:r>
        <w:rPr>
          <w:sz w:val="20"/>
        </w:rPr>
        <w:t>move between Member States.</w:t>
      </w:r>
    </w:p>
    <w:p w14:paraId="7FBCDFB7" w14:textId="77777777" w:rsidR="00161C10" w:rsidRDefault="00161C10">
      <w:pPr>
        <w:rPr>
          <w:sz w:val="20"/>
        </w:rPr>
        <w:sectPr w:rsidR="00161C10">
          <w:pgSz w:w="12240" w:h="15840"/>
          <w:pgMar w:top="1360" w:right="1080" w:bottom="1460" w:left="1080" w:header="0" w:footer="1274" w:gutter="0"/>
          <w:cols w:space="720"/>
        </w:sectPr>
      </w:pPr>
    </w:p>
    <w:p w14:paraId="0BDF5B3B" w14:textId="77777777" w:rsidR="00161C10" w:rsidRDefault="00CE2C8C">
      <w:pPr>
        <w:pStyle w:val="BodyText"/>
        <w:ind w:left="242"/>
        <w:rPr>
          <w:sz w:val="20"/>
        </w:rPr>
      </w:pPr>
      <w:r>
        <w:rPr>
          <w:noProof/>
          <w:sz w:val="20"/>
        </w:rPr>
        <w:lastRenderedPageBreak/>
        <mc:AlternateContent>
          <mc:Choice Requires="wps">
            <w:drawing>
              <wp:inline distT="0" distB="0" distL="0" distR="0" wp14:anchorId="481F853D" wp14:editId="7C4757C4">
                <wp:extent cx="6088380" cy="1642110"/>
                <wp:effectExtent l="9525" t="0" r="0" b="5714"/>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1642110"/>
                        </a:xfrm>
                        <a:prstGeom prst="rect">
                          <a:avLst/>
                        </a:prstGeom>
                        <a:ln w="6095">
                          <a:solidFill>
                            <a:srgbClr val="000000"/>
                          </a:solidFill>
                          <a:prstDash val="solid"/>
                        </a:ln>
                      </wps:spPr>
                      <wps:txbx>
                        <w:txbxContent>
                          <w:p w14:paraId="07359378" w14:textId="77777777" w:rsidR="00161C10" w:rsidRDefault="00CE2C8C">
                            <w:pPr>
                              <w:spacing w:before="20" w:line="276" w:lineRule="auto"/>
                              <w:ind w:left="108" w:right="102"/>
                              <w:jc w:val="both"/>
                              <w:rPr>
                                <w:rFonts w:ascii="Arial"/>
                                <w:b/>
                                <w:sz w:val="24"/>
                              </w:rPr>
                            </w:pPr>
                            <w:r>
                              <w:rPr>
                                <w:rFonts w:ascii="Arial"/>
                                <w:b/>
                                <w:sz w:val="24"/>
                              </w:rPr>
                              <w:t>The Committee recommends that the EU adopts legislation establishing the full and</w:t>
                            </w:r>
                            <w:r>
                              <w:rPr>
                                <w:rFonts w:ascii="Arial"/>
                                <w:b/>
                                <w:spacing w:val="-17"/>
                                <w:sz w:val="24"/>
                              </w:rPr>
                              <w:t xml:space="preserve"> </w:t>
                            </w:r>
                            <w:r>
                              <w:rPr>
                                <w:rFonts w:ascii="Arial"/>
                                <w:b/>
                                <w:sz w:val="24"/>
                              </w:rPr>
                              <w:t>automatic</w:t>
                            </w:r>
                            <w:r>
                              <w:rPr>
                                <w:rFonts w:ascii="Arial"/>
                                <w:b/>
                                <w:spacing w:val="-17"/>
                                <w:sz w:val="24"/>
                              </w:rPr>
                              <w:t xml:space="preserve"> </w:t>
                            </w:r>
                            <w:r>
                              <w:rPr>
                                <w:rFonts w:ascii="Arial"/>
                                <w:b/>
                                <w:sz w:val="24"/>
                              </w:rPr>
                              <w:t>recognition</w:t>
                            </w:r>
                            <w:r>
                              <w:rPr>
                                <w:rFonts w:ascii="Arial"/>
                                <w:b/>
                                <w:spacing w:val="-16"/>
                                <w:sz w:val="24"/>
                              </w:rPr>
                              <w:t xml:space="preserve"> </w:t>
                            </w:r>
                            <w:r>
                              <w:rPr>
                                <w:rFonts w:ascii="Arial"/>
                                <w:b/>
                                <w:sz w:val="24"/>
                              </w:rPr>
                              <w:t>of</w:t>
                            </w:r>
                            <w:r>
                              <w:rPr>
                                <w:rFonts w:ascii="Arial"/>
                                <w:b/>
                                <w:spacing w:val="-17"/>
                                <w:sz w:val="24"/>
                              </w:rPr>
                              <w:t xml:space="preserve"> </w:t>
                            </w:r>
                            <w:r>
                              <w:rPr>
                                <w:rFonts w:ascii="Arial"/>
                                <w:b/>
                                <w:sz w:val="24"/>
                              </w:rPr>
                              <w:t>disability</w:t>
                            </w:r>
                            <w:r>
                              <w:rPr>
                                <w:rFonts w:ascii="Arial"/>
                                <w:b/>
                                <w:spacing w:val="-17"/>
                                <w:sz w:val="24"/>
                              </w:rPr>
                              <w:t xml:space="preserve"> </w:t>
                            </w:r>
                            <w:r>
                              <w:rPr>
                                <w:rFonts w:ascii="Arial"/>
                                <w:b/>
                                <w:sz w:val="24"/>
                              </w:rPr>
                              <w:t>status</w:t>
                            </w:r>
                            <w:r>
                              <w:rPr>
                                <w:rFonts w:ascii="Arial"/>
                                <w:b/>
                                <w:spacing w:val="-17"/>
                                <w:sz w:val="24"/>
                              </w:rPr>
                              <w:t xml:space="preserve"> </w:t>
                            </w:r>
                            <w:r>
                              <w:rPr>
                                <w:rFonts w:ascii="Arial"/>
                                <w:b/>
                                <w:sz w:val="24"/>
                              </w:rPr>
                              <w:t>and</w:t>
                            </w:r>
                            <w:r>
                              <w:rPr>
                                <w:rFonts w:ascii="Arial"/>
                                <w:b/>
                                <w:spacing w:val="-16"/>
                                <w:sz w:val="24"/>
                              </w:rPr>
                              <w:t xml:space="preserve"> </w:t>
                            </w:r>
                            <w:r>
                              <w:rPr>
                                <w:rFonts w:ascii="Arial"/>
                                <w:b/>
                                <w:sz w:val="24"/>
                              </w:rPr>
                              <w:t>entitlements</w:t>
                            </w:r>
                            <w:r>
                              <w:rPr>
                                <w:rFonts w:ascii="Arial"/>
                                <w:b/>
                                <w:spacing w:val="-17"/>
                                <w:sz w:val="24"/>
                              </w:rPr>
                              <w:t xml:space="preserve"> </w:t>
                            </w:r>
                            <w:r>
                              <w:rPr>
                                <w:rFonts w:ascii="Arial"/>
                                <w:b/>
                                <w:sz w:val="24"/>
                              </w:rPr>
                              <w:t>to</w:t>
                            </w:r>
                            <w:r>
                              <w:rPr>
                                <w:rFonts w:ascii="Arial"/>
                                <w:b/>
                                <w:spacing w:val="-17"/>
                                <w:sz w:val="24"/>
                              </w:rPr>
                              <w:t xml:space="preserve"> </w:t>
                            </w:r>
                            <w:r>
                              <w:rPr>
                                <w:rFonts w:ascii="Arial"/>
                                <w:b/>
                                <w:sz w:val="24"/>
                              </w:rPr>
                              <w:t>disability</w:t>
                            </w:r>
                            <w:r>
                              <w:rPr>
                                <w:rFonts w:ascii="Arial"/>
                                <w:b/>
                                <w:spacing w:val="-16"/>
                                <w:sz w:val="24"/>
                              </w:rPr>
                              <w:t xml:space="preserve"> </w:t>
                            </w:r>
                            <w:r>
                              <w:rPr>
                                <w:rFonts w:ascii="Arial"/>
                                <w:b/>
                                <w:sz w:val="24"/>
                              </w:rPr>
                              <w:t>specific services such as allowances, personal budgets or personal assistance schemes within the EU. The EU should promote the introduction of personal budgets, as means of ensuring adequate level of personal assistance as a key tool for independent living, and user-led Centers for Independent Living in all Member States. In this respect, the Commission should consider adopting a directive on joint standards for personal budgets for disabled people.</w:t>
                            </w:r>
                          </w:p>
                        </w:txbxContent>
                      </wps:txbx>
                      <wps:bodyPr wrap="square" lIns="0" tIns="0" rIns="0" bIns="0" rtlCol="0">
                        <a:noAutofit/>
                      </wps:bodyPr>
                    </wps:wsp>
                  </a:graphicData>
                </a:graphic>
              </wp:inline>
            </w:drawing>
          </mc:Choice>
          <mc:Fallback>
            <w:pict>
              <v:shape w14:anchorId="481F853D" id="Textbox 28" o:spid="_x0000_s1045" type="#_x0000_t202" style="width:479.4pt;height:12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" filled="f" strokeweight=".16931mm">
                <v:path arrowok="t"/>
                <v:textbox inset="0,0,0,0">
                  <w:txbxContent>
                    <w:p w14:paraId="07359378" w14:textId="77777777" w:rsidR="00161C10" w:rsidRDefault="00CE2C8C">
                      <w:pPr>
                        <w:spacing w:before="20" w:line="276" w:lineRule="auto"/>
                        <w:ind w:left="108" w:right="102"/>
                        <w:jc w:val="both"/>
                        <w:rPr>
                          <w:rFonts w:ascii="Arial"/>
                          <w:b/>
                          <w:sz w:val="24"/>
                        </w:rPr>
                      </w:pPr>
                      <w:r>
                        <w:rPr>
                          <w:rFonts w:ascii="Arial"/>
                          <w:b/>
                          <w:sz w:val="24"/>
                        </w:rPr>
                        <w:t>The Committee recommends that the EU adopts legislation establishing the full and</w:t>
                      </w:r>
                      <w:r>
                        <w:rPr>
                          <w:rFonts w:ascii="Arial"/>
                          <w:b/>
                          <w:spacing w:val="-17"/>
                          <w:sz w:val="24"/>
                        </w:rPr>
                        <w:t xml:space="preserve"> </w:t>
                      </w:r>
                      <w:r>
                        <w:rPr>
                          <w:rFonts w:ascii="Arial"/>
                          <w:b/>
                          <w:sz w:val="24"/>
                        </w:rPr>
                        <w:t>automatic</w:t>
                      </w:r>
                      <w:r>
                        <w:rPr>
                          <w:rFonts w:ascii="Arial"/>
                          <w:b/>
                          <w:spacing w:val="-17"/>
                          <w:sz w:val="24"/>
                        </w:rPr>
                        <w:t xml:space="preserve"> </w:t>
                      </w:r>
                      <w:r>
                        <w:rPr>
                          <w:rFonts w:ascii="Arial"/>
                          <w:b/>
                          <w:sz w:val="24"/>
                        </w:rPr>
                        <w:t>recognition</w:t>
                      </w:r>
                      <w:r>
                        <w:rPr>
                          <w:rFonts w:ascii="Arial"/>
                          <w:b/>
                          <w:spacing w:val="-16"/>
                          <w:sz w:val="24"/>
                        </w:rPr>
                        <w:t xml:space="preserve"> </w:t>
                      </w:r>
                      <w:r>
                        <w:rPr>
                          <w:rFonts w:ascii="Arial"/>
                          <w:b/>
                          <w:sz w:val="24"/>
                        </w:rPr>
                        <w:t>of</w:t>
                      </w:r>
                      <w:r>
                        <w:rPr>
                          <w:rFonts w:ascii="Arial"/>
                          <w:b/>
                          <w:spacing w:val="-17"/>
                          <w:sz w:val="24"/>
                        </w:rPr>
                        <w:t xml:space="preserve"> </w:t>
                      </w:r>
                      <w:r>
                        <w:rPr>
                          <w:rFonts w:ascii="Arial"/>
                          <w:b/>
                          <w:sz w:val="24"/>
                        </w:rPr>
                        <w:t>disability</w:t>
                      </w:r>
                      <w:r>
                        <w:rPr>
                          <w:rFonts w:ascii="Arial"/>
                          <w:b/>
                          <w:spacing w:val="-17"/>
                          <w:sz w:val="24"/>
                        </w:rPr>
                        <w:t xml:space="preserve"> </w:t>
                      </w:r>
                      <w:r>
                        <w:rPr>
                          <w:rFonts w:ascii="Arial"/>
                          <w:b/>
                          <w:sz w:val="24"/>
                        </w:rPr>
                        <w:t>status</w:t>
                      </w:r>
                      <w:r>
                        <w:rPr>
                          <w:rFonts w:ascii="Arial"/>
                          <w:b/>
                          <w:spacing w:val="-17"/>
                          <w:sz w:val="24"/>
                        </w:rPr>
                        <w:t xml:space="preserve"> </w:t>
                      </w:r>
                      <w:r>
                        <w:rPr>
                          <w:rFonts w:ascii="Arial"/>
                          <w:b/>
                          <w:sz w:val="24"/>
                        </w:rPr>
                        <w:t>and</w:t>
                      </w:r>
                      <w:r>
                        <w:rPr>
                          <w:rFonts w:ascii="Arial"/>
                          <w:b/>
                          <w:spacing w:val="-16"/>
                          <w:sz w:val="24"/>
                        </w:rPr>
                        <w:t xml:space="preserve"> </w:t>
                      </w:r>
                      <w:r>
                        <w:rPr>
                          <w:rFonts w:ascii="Arial"/>
                          <w:b/>
                          <w:sz w:val="24"/>
                        </w:rPr>
                        <w:t>entitlements</w:t>
                      </w:r>
                      <w:r>
                        <w:rPr>
                          <w:rFonts w:ascii="Arial"/>
                          <w:b/>
                          <w:spacing w:val="-17"/>
                          <w:sz w:val="24"/>
                        </w:rPr>
                        <w:t xml:space="preserve"> </w:t>
                      </w:r>
                      <w:r>
                        <w:rPr>
                          <w:rFonts w:ascii="Arial"/>
                          <w:b/>
                          <w:sz w:val="24"/>
                        </w:rPr>
                        <w:t>to</w:t>
                      </w:r>
                      <w:r>
                        <w:rPr>
                          <w:rFonts w:ascii="Arial"/>
                          <w:b/>
                          <w:spacing w:val="-17"/>
                          <w:sz w:val="24"/>
                        </w:rPr>
                        <w:t xml:space="preserve"> </w:t>
                      </w:r>
                      <w:r>
                        <w:rPr>
                          <w:rFonts w:ascii="Arial"/>
                          <w:b/>
                          <w:sz w:val="24"/>
                        </w:rPr>
                        <w:t>disability</w:t>
                      </w:r>
                      <w:r>
                        <w:rPr>
                          <w:rFonts w:ascii="Arial"/>
                          <w:b/>
                          <w:spacing w:val="-16"/>
                          <w:sz w:val="24"/>
                        </w:rPr>
                        <w:t xml:space="preserve"> </w:t>
                      </w:r>
                      <w:r>
                        <w:rPr>
                          <w:rFonts w:ascii="Arial"/>
                          <w:b/>
                          <w:sz w:val="24"/>
                        </w:rPr>
                        <w:t>specific services such as allowances, personal budgets or personal assistance schemes within the EU. The EU should promote the introduction of personal budgets, as means of ensuring adequate level of personal assistance as a key tool for independent living, and user-led Centers for Independent Living in all Member States. In this respect, the Commission should consider adopting a directive on joint standards for personal budgets for disabled people.</w:t>
                      </w:r>
                    </w:p>
                  </w:txbxContent>
                </v:textbox>
                <w10:anchorlock/>
              </v:shape>
            </w:pict>
          </mc:Fallback>
        </mc:AlternateContent>
      </w:r>
    </w:p>
    <w:p w14:paraId="12BBA1B4" w14:textId="77777777" w:rsidR="00161C10" w:rsidRDefault="00CE2C8C">
      <w:pPr>
        <w:pStyle w:val="Heading3"/>
        <w:numPr>
          <w:ilvl w:val="2"/>
          <w:numId w:val="8"/>
        </w:numPr>
        <w:tabs>
          <w:tab w:val="left" w:pos="1136"/>
        </w:tabs>
        <w:spacing w:before="203"/>
        <w:ind w:left="1136" w:hanging="776"/>
      </w:pPr>
      <w:r>
        <w:t>Living</w:t>
      </w:r>
      <w:r>
        <w:rPr>
          <w:spacing w:val="-7"/>
        </w:rPr>
        <w:t xml:space="preserve"> </w:t>
      </w:r>
      <w:r>
        <w:t>independently</w:t>
      </w:r>
      <w:r>
        <w:rPr>
          <w:spacing w:val="-5"/>
        </w:rPr>
        <w:t xml:space="preserve"> </w:t>
      </w:r>
      <w:r>
        <w:t>and</w:t>
      </w:r>
      <w:r>
        <w:rPr>
          <w:spacing w:val="-7"/>
        </w:rPr>
        <w:t xml:space="preserve"> </w:t>
      </w:r>
      <w:r>
        <w:t>being</w:t>
      </w:r>
      <w:r>
        <w:rPr>
          <w:spacing w:val="-6"/>
        </w:rPr>
        <w:t xml:space="preserve"> </w:t>
      </w:r>
      <w:r>
        <w:t>included</w:t>
      </w:r>
      <w:r>
        <w:rPr>
          <w:spacing w:val="-8"/>
        </w:rPr>
        <w:t xml:space="preserve"> </w:t>
      </w:r>
      <w:r>
        <w:t>in</w:t>
      </w:r>
      <w:r>
        <w:rPr>
          <w:spacing w:val="-9"/>
        </w:rPr>
        <w:t xml:space="preserve"> </w:t>
      </w:r>
      <w:r>
        <w:t>the</w:t>
      </w:r>
      <w:r>
        <w:rPr>
          <w:spacing w:val="-10"/>
        </w:rPr>
        <w:t xml:space="preserve"> </w:t>
      </w:r>
      <w:r>
        <w:t>community</w:t>
      </w:r>
      <w:r>
        <w:rPr>
          <w:spacing w:val="-7"/>
        </w:rPr>
        <w:t xml:space="preserve"> </w:t>
      </w:r>
      <w:r>
        <w:t>(art.</w:t>
      </w:r>
      <w:r>
        <w:rPr>
          <w:spacing w:val="-5"/>
        </w:rPr>
        <w:t xml:space="preserve"> 19)</w:t>
      </w:r>
    </w:p>
    <w:p w14:paraId="433743DE" w14:textId="77777777" w:rsidR="00161C10" w:rsidRDefault="00CE2C8C">
      <w:pPr>
        <w:pStyle w:val="Heading4"/>
        <w:numPr>
          <w:ilvl w:val="3"/>
          <w:numId w:val="8"/>
        </w:numPr>
        <w:tabs>
          <w:tab w:val="left" w:pos="1073"/>
        </w:tabs>
        <w:spacing w:before="290"/>
        <w:ind w:hanging="355"/>
        <w:jc w:val="left"/>
      </w:pPr>
      <w:r>
        <w:t>Reply</w:t>
      </w:r>
      <w:r>
        <w:rPr>
          <w:spacing w:val="-2"/>
        </w:rPr>
        <w:t xml:space="preserve"> </w:t>
      </w:r>
      <w:r>
        <w:t>to</w:t>
      </w:r>
      <w:r>
        <w:rPr>
          <w:spacing w:val="-2"/>
        </w:rPr>
        <w:t xml:space="preserve"> </w:t>
      </w:r>
      <w:r>
        <w:t>issues</w:t>
      </w:r>
      <w:r>
        <w:rPr>
          <w:spacing w:val="-4"/>
        </w:rPr>
        <w:t xml:space="preserve"> </w:t>
      </w:r>
      <w:r>
        <w:t>raised</w:t>
      </w:r>
      <w:r>
        <w:rPr>
          <w:spacing w:val="-2"/>
        </w:rPr>
        <w:t xml:space="preserve"> </w:t>
      </w:r>
      <w:r>
        <w:t>in</w:t>
      </w:r>
      <w:r>
        <w:rPr>
          <w:spacing w:val="-1"/>
        </w:rPr>
        <w:t xml:space="preserve"> </w:t>
      </w:r>
      <w:r>
        <w:t>paragraph</w:t>
      </w:r>
      <w:r>
        <w:rPr>
          <w:spacing w:val="-2"/>
        </w:rPr>
        <w:t xml:space="preserve"> </w:t>
      </w:r>
      <w:r>
        <w:t>21a</w:t>
      </w:r>
      <w:r>
        <w:rPr>
          <w:spacing w:val="-2"/>
        </w:rPr>
        <w:t xml:space="preserve"> </w:t>
      </w:r>
      <w:r>
        <w:t>of</w:t>
      </w:r>
      <w:r>
        <w:rPr>
          <w:spacing w:val="-5"/>
        </w:rPr>
        <w:t xml:space="preserve"> </w:t>
      </w:r>
      <w:r>
        <w:t>the</w:t>
      </w:r>
      <w:r>
        <w:rPr>
          <w:spacing w:val="-2"/>
        </w:rPr>
        <w:t xml:space="preserve"> </w:t>
      </w:r>
      <w:r>
        <w:t>list</w:t>
      </w:r>
      <w:r>
        <w:rPr>
          <w:spacing w:val="-1"/>
        </w:rPr>
        <w:t xml:space="preserve"> </w:t>
      </w:r>
      <w:r>
        <w:t>of</w:t>
      </w:r>
      <w:r>
        <w:rPr>
          <w:spacing w:val="-4"/>
        </w:rPr>
        <w:t xml:space="preserve"> </w:t>
      </w:r>
      <w:r>
        <w:rPr>
          <w:spacing w:val="-2"/>
        </w:rPr>
        <w:t>issues</w:t>
      </w:r>
    </w:p>
    <w:p w14:paraId="3A336E72" w14:textId="77777777" w:rsidR="00161C10" w:rsidRDefault="00CE2C8C">
      <w:pPr>
        <w:spacing w:before="159" w:line="276" w:lineRule="auto"/>
        <w:ind w:left="360" w:right="359"/>
        <w:jc w:val="both"/>
        <w:rPr>
          <w:rFonts w:ascii="Arial" w:hAnsi="Arial"/>
          <w:i/>
          <w:sz w:val="24"/>
        </w:rPr>
      </w:pPr>
      <w:r>
        <w:rPr>
          <w:rFonts w:ascii="Arial" w:hAnsi="Arial"/>
          <w:i/>
          <w:sz w:val="24"/>
        </w:rPr>
        <w:t>The</w:t>
      </w:r>
      <w:r>
        <w:rPr>
          <w:rFonts w:ascii="Arial" w:hAnsi="Arial"/>
          <w:i/>
          <w:spacing w:val="-3"/>
          <w:sz w:val="24"/>
        </w:rPr>
        <w:t xml:space="preserve"> </w:t>
      </w:r>
      <w:r>
        <w:rPr>
          <w:rFonts w:ascii="Arial" w:hAnsi="Arial"/>
          <w:i/>
          <w:sz w:val="24"/>
        </w:rPr>
        <w:t>European Union states</w:t>
      </w:r>
      <w:r>
        <w:rPr>
          <w:rFonts w:ascii="Arial" w:hAnsi="Arial"/>
          <w:i/>
          <w:spacing w:val="-3"/>
          <w:sz w:val="24"/>
        </w:rPr>
        <w:t xml:space="preserve"> </w:t>
      </w:r>
      <w:r>
        <w:rPr>
          <w:rFonts w:ascii="Arial" w:hAnsi="Arial"/>
          <w:i/>
          <w:sz w:val="24"/>
        </w:rPr>
        <w:t>that</w:t>
      </w:r>
      <w:r>
        <w:rPr>
          <w:rFonts w:ascii="Arial" w:hAnsi="Arial"/>
          <w:i/>
          <w:spacing w:val="-3"/>
          <w:sz w:val="24"/>
        </w:rPr>
        <w:t xml:space="preserve"> </w:t>
      </w:r>
      <w:r>
        <w:rPr>
          <w:rFonts w:ascii="Arial" w:hAnsi="Arial"/>
          <w:i/>
          <w:sz w:val="24"/>
        </w:rPr>
        <w:t>“the</w:t>
      </w:r>
      <w:r>
        <w:rPr>
          <w:rFonts w:ascii="Arial" w:hAnsi="Arial"/>
          <w:i/>
          <w:spacing w:val="-2"/>
          <w:sz w:val="24"/>
        </w:rPr>
        <w:t xml:space="preserve"> </w:t>
      </w:r>
      <w:r>
        <w:rPr>
          <w:rFonts w:ascii="Arial" w:hAnsi="Arial"/>
          <w:i/>
          <w:sz w:val="24"/>
        </w:rPr>
        <w:t>Commission plans</w:t>
      </w:r>
      <w:r>
        <w:rPr>
          <w:rFonts w:ascii="Arial" w:hAnsi="Arial"/>
          <w:i/>
          <w:spacing w:val="-3"/>
          <w:sz w:val="24"/>
        </w:rPr>
        <w:t xml:space="preserve"> </w:t>
      </w:r>
      <w:r>
        <w:rPr>
          <w:rFonts w:ascii="Arial" w:hAnsi="Arial"/>
          <w:i/>
          <w:sz w:val="24"/>
        </w:rPr>
        <w:t>to</w:t>
      </w:r>
      <w:r>
        <w:rPr>
          <w:rFonts w:ascii="Arial" w:hAnsi="Arial"/>
          <w:i/>
          <w:spacing w:val="-2"/>
          <w:sz w:val="24"/>
        </w:rPr>
        <w:t xml:space="preserve"> </w:t>
      </w:r>
      <w:r>
        <w:rPr>
          <w:rFonts w:ascii="Arial" w:hAnsi="Arial"/>
          <w:i/>
          <w:sz w:val="24"/>
        </w:rPr>
        <w:t>issue</w:t>
      </w:r>
      <w:r>
        <w:rPr>
          <w:rFonts w:ascii="Arial" w:hAnsi="Arial"/>
          <w:i/>
          <w:spacing w:val="-2"/>
          <w:sz w:val="24"/>
        </w:rPr>
        <w:t xml:space="preserve"> </w:t>
      </w:r>
      <w:r>
        <w:rPr>
          <w:rFonts w:ascii="Arial" w:hAnsi="Arial"/>
          <w:i/>
          <w:sz w:val="24"/>
        </w:rPr>
        <w:t>guidance for</w:t>
      </w:r>
      <w:r>
        <w:rPr>
          <w:rFonts w:ascii="Arial" w:hAnsi="Arial"/>
          <w:i/>
          <w:spacing w:val="-2"/>
          <w:sz w:val="24"/>
        </w:rPr>
        <w:t xml:space="preserve"> </w:t>
      </w:r>
      <w:r>
        <w:rPr>
          <w:rFonts w:ascii="Arial" w:hAnsi="Arial"/>
          <w:i/>
          <w:sz w:val="24"/>
        </w:rPr>
        <w:t>MS</w:t>
      </w:r>
      <w:r>
        <w:rPr>
          <w:rFonts w:ascii="Arial" w:hAnsi="Arial"/>
          <w:i/>
          <w:spacing w:val="-2"/>
          <w:sz w:val="24"/>
        </w:rPr>
        <w:t xml:space="preserve"> </w:t>
      </w:r>
      <w:r>
        <w:rPr>
          <w:rFonts w:ascii="Arial" w:hAnsi="Arial"/>
          <w:i/>
          <w:sz w:val="24"/>
        </w:rPr>
        <w:t>on</w:t>
      </w:r>
      <w:r>
        <w:rPr>
          <w:rFonts w:ascii="Arial" w:hAnsi="Arial"/>
          <w:i/>
          <w:spacing w:val="-2"/>
          <w:sz w:val="24"/>
        </w:rPr>
        <w:t xml:space="preserve"> </w:t>
      </w:r>
      <w:r>
        <w:rPr>
          <w:rFonts w:ascii="Arial" w:hAnsi="Arial"/>
          <w:i/>
          <w:sz w:val="24"/>
        </w:rPr>
        <w:t>the use</w:t>
      </w:r>
      <w:r>
        <w:rPr>
          <w:rFonts w:ascii="Arial" w:hAnsi="Arial"/>
          <w:i/>
          <w:spacing w:val="-14"/>
          <w:sz w:val="24"/>
        </w:rPr>
        <w:t xml:space="preserve"> </w:t>
      </w:r>
      <w:r>
        <w:rPr>
          <w:rFonts w:ascii="Arial" w:hAnsi="Arial"/>
          <w:i/>
          <w:sz w:val="24"/>
        </w:rPr>
        <w:t>of</w:t>
      </w:r>
      <w:r>
        <w:rPr>
          <w:rFonts w:ascii="Arial" w:hAnsi="Arial"/>
          <w:i/>
          <w:spacing w:val="-14"/>
          <w:sz w:val="24"/>
        </w:rPr>
        <w:t xml:space="preserve"> </w:t>
      </w:r>
      <w:r>
        <w:rPr>
          <w:rFonts w:ascii="Arial" w:hAnsi="Arial"/>
          <w:i/>
          <w:sz w:val="24"/>
        </w:rPr>
        <w:t>EU</w:t>
      </w:r>
      <w:r>
        <w:rPr>
          <w:rFonts w:ascii="Arial" w:hAnsi="Arial"/>
          <w:i/>
          <w:spacing w:val="-15"/>
          <w:sz w:val="24"/>
        </w:rPr>
        <w:t xml:space="preserve"> </w:t>
      </w:r>
      <w:r>
        <w:rPr>
          <w:rFonts w:ascii="Arial" w:hAnsi="Arial"/>
          <w:i/>
          <w:sz w:val="24"/>
        </w:rPr>
        <w:t>Funds</w:t>
      </w:r>
      <w:r>
        <w:rPr>
          <w:rFonts w:ascii="Arial" w:hAnsi="Arial"/>
          <w:i/>
          <w:spacing w:val="-15"/>
          <w:sz w:val="24"/>
        </w:rPr>
        <w:t xml:space="preserve"> </w:t>
      </w:r>
      <w:r>
        <w:rPr>
          <w:rFonts w:ascii="Arial" w:hAnsi="Arial"/>
          <w:i/>
          <w:sz w:val="24"/>
        </w:rPr>
        <w:t>to</w:t>
      </w:r>
      <w:r>
        <w:rPr>
          <w:rFonts w:ascii="Arial" w:hAnsi="Arial"/>
          <w:i/>
          <w:spacing w:val="-14"/>
          <w:sz w:val="24"/>
        </w:rPr>
        <w:t xml:space="preserve"> </w:t>
      </w:r>
      <w:r>
        <w:rPr>
          <w:rFonts w:ascii="Arial" w:hAnsi="Arial"/>
          <w:i/>
          <w:sz w:val="24"/>
        </w:rPr>
        <w:t>improve</w:t>
      </w:r>
      <w:r>
        <w:rPr>
          <w:rFonts w:ascii="Arial" w:hAnsi="Arial"/>
          <w:i/>
          <w:spacing w:val="-14"/>
          <w:sz w:val="24"/>
        </w:rPr>
        <w:t xml:space="preserve"> </w:t>
      </w:r>
      <w:r>
        <w:rPr>
          <w:rFonts w:ascii="Arial" w:hAnsi="Arial"/>
          <w:i/>
          <w:sz w:val="24"/>
        </w:rPr>
        <w:t>independent</w:t>
      </w:r>
      <w:r>
        <w:rPr>
          <w:rFonts w:ascii="Arial" w:hAnsi="Arial"/>
          <w:i/>
          <w:spacing w:val="-14"/>
          <w:sz w:val="24"/>
        </w:rPr>
        <w:t xml:space="preserve"> </w:t>
      </w:r>
      <w:r>
        <w:rPr>
          <w:rFonts w:ascii="Arial" w:hAnsi="Arial"/>
          <w:i/>
          <w:sz w:val="24"/>
        </w:rPr>
        <w:t>living</w:t>
      </w:r>
      <w:r>
        <w:rPr>
          <w:rFonts w:ascii="Arial" w:hAnsi="Arial"/>
          <w:i/>
          <w:spacing w:val="-14"/>
          <w:sz w:val="24"/>
        </w:rPr>
        <w:t xml:space="preserve"> </w:t>
      </w:r>
      <w:r>
        <w:rPr>
          <w:rFonts w:ascii="Arial" w:hAnsi="Arial"/>
          <w:i/>
          <w:sz w:val="24"/>
        </w:rPr>
        <w:t>and</w:t>
      </w:r>
      <w:r>
        <w:rPr>
          <w:rFonts w:ascii="Arial" w:hAnsi="Arial"/>
          <w:i/>
          <w:spacing w:val="-14"/>
          <w:sz w:val="24"/>
        </w:rPr>
        <w:t xml:space="preserve"> </w:t>
      </w:r>
      <w:r>
        <w:rPr>
          <w:rFonts w:ascii="Arial" w:hAnsi="Arial"/>
          <w:i/>
          <w:sz w:val="24"/>
        </w:rPr>
        <w:t>inclusion</w:t>
      </w:r>
      <w:r>
        <w:rPr>
          <w:rFonts w:ascii="Arial" w:hAnsi="Arial"/>
          <w:i/>
          <w:spacing w:val="-14"/>
          <w:sz w:val="24"/>
        </w:rPr>
        <w:t xml:space="preserve"> </w:t>
      </w:r>
      <w:r>
        <w:rPr>
          <w:rFonts w:ascii="Arial" w:hAnsi="Arial"/>
          <w:i/>
          <w:sz w:val="24"/>
        </w:rPr>
        <w:t>in</w:t>
      </w:r>
      <w:r>
        <w:rPr>
          <w:rFonts w:ascii="Arial" w:hAnsi="Arial"/>
          <w:i/>
          <w:spacing w:val="-15"/>
          <w:sz w:val="24"/>
        </w:rPr>
        <w:t xml:space="preserve"> </w:t>
      </w:r>
      <w:r>
        <w:rPr>
          <w:rFonts w:ascii="Arial" w:hAnsi="Arial"/>
          <w:i/>
          <w:sz w:val="24"/>
        </w:rPr>
        <w:t>the</w:t>
      </w:r>
      <w:r>
        <w:rPr>
          <w:rFonts w:ascii="Arial" w:hAnsi="Arial"/>
          <w:i/>
          <w:spacing w:val="-14"/>
          <w:sz w:val="24"/>
        </w:rPr>
        <w:t xml:space="preserve"> </w:t>
      </w:r>
      <w:r>
        <w:rPr>
          <w:rFonts w:ascii="Arial" w:hAnsi="Arial"/>
          <w:i/>
          <w:sz w:val="24"/>
        </w:rPr>
        <w:t>community</w:t>
      </w:r>
      <w:r>
        <w:rPr>
          <w:rFonts w:ascii="Arial" w:hAnsi="Arial"/>
          <w:i/>
          <w:spacing w:val="-15"/>
          <w:sz w:val="24"/>
        </w:rPr>
        <w:t xml:space="preserve"> </w:t>
      </w:r>
      <w:r>
        <w:rPr>
          <w:rFonts w:ascii="Arial" w:hAnsi="Arial"/>
          <w:i/>
          <w:sz w:val="24"/>
        </w:rPr>
        <w:t>of</w:t>
      </w:r>
      <w:r>
        <w:rPr>
          <w:rFonts w:ascii="Arial" w:hAnsi="Arial"/>
          <w:i/>
          <w:spacing w:val="-14"/>
          <w:sz w:val="24"/>
        </w:rPr>
        <w:t xml:space="preserve"> </w:t>
      </w:r>
      <w:r>
        <w:rPr>
          <w:rFonts w:ascii="Arial" w:hAnsi="Arial"/>
          <w:i/>
          <w:sz w:val="24"/>
        </w:rPr>
        <w:t>persons with disabilities… In 2024, the Commission will also present a framework for Social Services of Excellence for Persons with Disabilities.”</w:t>
      </w:r>
    </w:p>
    <w:p w14:paraId="6220DA3D" w14:textId="77777777" w:rsidR="00161C10" w:rsidRDefault="00CE2C8C">
      <w:pPr>
        <w:pStyle w:val="BodyText"/>
        <w:spacing w:before="120" w:line="276" w:lineRule="auto"/>
        <w:ind w:left="360" w:right="355"/>
        <w:jc w:val="both"/>
      </w:pPr>
      <w:r>
        <w:t xml:space="preserve">ENIL </w:t>
      </w:r>
      <w:hyperlink r:id="rId67">
        <w:r>
          <w:rPr>
            <w:color w:val="1154CC"/>
            <w:u w:val="single" w:color="1154CC"/>
          </w:rPr>
          <w:t>welcomes the adoption</w:t>
        </w:r>
      </w:hyperlink>
      <w:r>
        <w:rPr>
          <w:color w:val="1154CC"/>
        </w:rPr>
        <w:t xml:space="preserve"> </w:t>
      </w:r>
      <w:r>
        <w:t xml:space="preserve">of the </w:t>
      </w:r>
      <w:hyperlink r:id="rId68">
        <w:r>
          <w:rPr>
            <w:color w:val="1154CC"/>
            <w:u w:val="single" w:color="1154CC"/>
          </w:rPr>
          <w:t>Guidance on independent living for persons with</w:t>
        </w:r>
      </w:hyperlink>
      <w:r>
        <w:rPr>
          <w:color w:val="1154CC"/>
        </w:rPr>
        <w:t xml:space="preserve"> </w:t>
      </w:r>
      <w:hyperlink r:id="rId69">
        <w:r>
          <w:rPr>
            <w:color w:val="1154CC"/>
            <w:u w:val="single" w:color="1154CC"/>
          </w:rPr>
          <w:t>disabilities to live independently and to be included in the community</w:t>
        </w:r>
      </w:hyperlink>
      <w:r>
        <w:rPr>
          <w:color w:val="1154CC"/>
        </w:rPr>
        <w:t xml:space="preserve"> </w:t>
      </w:r>
      <w:r>
        <w:t>by the European Commission</w:t>
      </w:r>
      <w:r>
        <w:rPr>
          <w:spacing w:val="-5"/>
        </w:rPr>
        <w:t xml:space="preserve"> </w:t>
      </w:r>
      <w:r>
        <w:t>in</w:t>
      </w:r>
      <w:r>
        <w:rPr>
          <w:spacing w:val="-7"/>
        </w:rPr>
        <w:t xml:space="preserve"> </w:t>
      </w:r>
      <w:r>
        <w:t>November</w:t>
      </w:r>
      <w:r>
        <w:rPr>
          <w:spacing w:val="-6"/>
        </w:rPr>
        <w:t xml:space="preserve"> </w:t>
      </w:r>
      <w:r>
        <w:t>2024.</w:t>
      </w:r>
      <w:r>
        <w:rPr>
          <w:spacing w:val="-7"/>
        </w:rPr>
        <w:t xml:space="preserve"> </w:t>
      </w:r>
      <w:r>
        <w:t>We</w:t>
      </w:r>
      <w:r>
        <w:rPr>
          <w:spacing w:val="-7"/>
        </w:rPr>
        <w:t xml:space="preserve"> </w:t>
      </w:r>
      <w:r>
        <w:t>also</w:t>
      </w:r>
      <w:r>
        <w:rPr>
          <w:spacing w:val="-5"/>
        </w:rPr>
        <w:t xml:space="preserve"> </w:t>
      </w:r>
      <w:r>
        <w:t>welcome</w:t>
      </w:r>
      <w:r>
        <w:rPr>
          <w:spacing w:val="-7"/>
        </w:rPr>
        <w:t xml:space="preserve"> </w:t>
      </w:r>
      <w:r>
        <w:t>the</w:t>
      </w:r>
      <w:r>
        <w:rPr>
          <w:spacing w:val="-7"/>
        </w:rPr>
        <w:t xml:space="preserve"> </w:t>
      </w:r>
      <w:r>
        <w:t>meaningful</w:t>
      </w:r>
      <w:r>
        <w:rPr>
          <w:spacing w:val="-6"/>
        </w:rPr>
        <w:t xml:space="preserve"> </w:t>
      </w:r>
      <w:r>
        <w:t>involvement</w:t>
      </w:r>
      <w:r>
        <w:rPr>
          <w:spacing w:val="-5"/>
        </w:rPr>
        <w:t xml:space="preserve"> </w:t>
      </w:r>
      <w:r>
        <w:t>of</w:t>
      </w:r>
      <w:r>
        <w:rPr>
          <w:spacing w:val="-5"/>
        </w:rPr>
        <w:t xml:space="preserve"> </w:t>
      </w:r>
      <w:r>
        <w:t>DPOs, including ENIL, in the work on this document, which should be replicated for all Commission</w:t>
      </w:r>
      <w:r>
        <w:rPr>
          <w:spacing w:val="-10"/>
        </w:rPr>
        <w:t xml:space="preserve"> </w:t>
      </w:r>
      <w:r>
        <w:t>initiatives.</w:t>
      </w:r>
      <w:r>
        <w:rPr>
          <w:spacing w:val="-11"/>
        </w:rPr>
        <w:t xml:space="preserve"> </w:t>
      </w:r>
      <w:r>
        <w:t>Thanks</w:t>
      </w:r>
      <w:r>
        <w:rPr>
          <w:spacing w:val="-11"/>
        </w:rPr>
        <w:t xml:space="preserve"> </w:t>
      </w:r>
      <w:r>
        <w:t>to</w:t>
      </w:r>
      <w:r>
        <w:rPr>
          <w:spacing w:val="-10"/>
        </w:rPr>
        <w:t xml:space="preserve"> </w:t>
      </w:r>
      <w:r>
        <w:t>the</w:t>
      </w:r>
      <w:r>
        <w:rPr>
          <w:spacing w:val="-8"/>
        </w:rPr>
        <w:t xml:space="preserve"> </w:t>
      </w:r>
      <w:r>
        <w:t>consultative</w:t>
      </w:r>
      <w:r>
        <w:rPr>
          <w:spacing w:val="-10"/>
        </w:rPr>
        <w:t xml:space="preserve"> </w:t>
      </w:r>
      <w:r>
        <w:t>nature</w:t>
      </w:r>
      <w:r>
        <w:rPr>
          <w:spacing w:val="-11"/>
        </w:rPr>
        <w:t xml:space="preserve"> </w:t>
      </w:r>
      <w:r>
        <w:t>of</w:t>
      </w:r>
      <w:r>
        <w:rPr>
          <w:spacing w:val="-11"/>
        </w:rPr>
        <w:t xml:space="preserve"> </w:t>
      </w:r>
      <w:r>
        <w:t>the</w:t>
      </w:r>
      <w:r>
        <w:rPr>
          <w:spacing w:val="-10"/>
        </w:rPr>
        <w:t xml:space="preserve"> </w:t>
      </w:r>
      <w:r>
        <w:t>process,</w:t>
      </w:r>
      <w:r>
        <w:rPr>
          <w:spacing w:val="-8"/>
        </w:rPr>
        <w:t xml:space="preserve"> </w:t>
      </w:r>
      <w:r>
        <w:t>the</w:t>
      </w:r>
      <w:r>
        <w:rPr>
          <w:spacing w:val="-3"/>
        </w:rPr>
        <w:t xml:space="preserve"> </w:t>
      </w:r>
      <w:r>
        <w:t>final</w:t>
      </w:r>
      <w:r>
        <w:rPr>
          <w:spacing w:val="-9"/>
        </w:rPr>
        <w:t xml:space="preserve"> </w:t>
      </w:r>
      <w:r>
        <w:t>version contains</w:t>
      </w:r>
      <w:r>
        <w:rPr>
          <w:spacing w:val="-17"/>
        </w:rPr>
        <w:t xml:space="preserve"> </w:t>
      </w:r>
      <w:r>
        <w:t>many</w:t>
      </w:r>
      <w:r>
        <w:rPr>
          <w:spacing w:val="-17"/>
        </w:rPr>
        <w:t xml:space="preserve"> </w:t>
      </w:r>
      <w:r>
        <w:t>positive</w:t>
      </w:r>
      <w:r>
        <w:rPr>
          <w:spacing w:val="-16"/>
        </w:rPr>
        <w:t xml:space="preserve"> </w:t>
      </w:r>
      <w:r>
        <w:t>elements</w:t>
      </w:r>
      <w:r>
        <w:rPr>
          <w:spacing w:val="-17"/>
        </w:rPr>
        <w:t xml:space="preserve"> </w:t>
      </w:r>
      <w:r>
        <w:t>and</w:t>
      </w:r>
      <w:r>
        <w:rPr>
          <w:spacing w:val="-17"/>
        </w:rPr>
        <w:t xml:space="preserve"> </w:t>
      </w:r>
      <w:r>
        <w:t>references</w:t>
      </w:r>
      <w:r>
        <w:rPr>
          <w:spacing w:val="-15"/>
        </w:rPr>
        <w:t xml:space="preserve"> </w:t>
      </w:r>
      <w:r>
        <w:t>throughout</w:t>
      </w:r>
      <w:r>
        <w:rPr>
          <w:spacing w:val="-15"/>
        </w:rPr>
        <w:t xml:space="preserve"> </w:t>
      </w:r>
      <w:r>
        <w:t>to</w:t>
      </w:r>
      <w:r>
        <w:rPr>
          <w:spacing w:val="-15"/>
        </w:rPr>
        <w:t xml:space="preserve"> </w:t>
      </w:r>
      <w:r>
        <w:t>the</w:t>
      </w:r>
      <w:r>
        <w:rPr>
          <w:spacing w:val="-16"/>
        </w:rPr>
        <w:t xml:space="preserve"> </w:t>
      </w:r>
      <w:r>
        <w:t>UNCRPD,</w:t>
      </w:r>
      <w:r>
        <w:rPr>
          <w:spacing w:val="-15"/>
        </w:rPr>
        <w:t xml:space="preserve"> </w:t>
      </w:r>
      <w:r>
        <w:t>the</w:t>
      </w:r>
      <w:r>
        <w:rPr>
          <w:spacing w:val="-16"/>
        </w:rPr>
        <w:t xml:space="preserve"> </w:t>
      </w:r>
      <w:r>
        <w:t>General Comment 5 and the Guidelines on deinstitutionalisation, including in Emergencies.</w:t>
      </w:r>
    </w:p>
    <w:p w14:paraId="2161334C" w14:textId="77777777" w:rsidR="00161C10" w:rsidRDefault="00CE2C8C">
      <w:pPr>
        <w:pStyle w:val="BodyText"/>
        <w:spacing w:before="121" w:line="276" w:lineRule="auto"/>
        <w:ind w:left="360" w:right="355"/>
        <w:jc w:val="both"/>
      </w:pPr>
      <w:r>
        <w:t>We find it particularly important that the Guidance does not foresee the option of transitional</w:t>
      </w:r>
      <w:r>
        <w:rPr>
          <w:spacing w:val="-12"/>
        </w:rPr>
        <w:t xml:space="preserve"> </w:t>
      </w:r>
      <w:r>
        <w:t>or</w:t>
      </w:r>
      <w:r>
        <w:rPr>
          <w:spacing w:val="-12"/>
        </w:rPr>
        <w:t xml:space="preserve"> </w:t>
      </w:r>
      <w:r>
        <w:t>any</w:t>
      </w:r>
      <w:r>
        <w:rPr>
          <w:spacing w:val="-12"/>
        </w:rPr>
        <w:t xml:space="preserve"> </w:t>
      </w:r>
      <w:r>
        <w:t>other</w:t>
      </w:r>
      <w:r>
        <w:rPr>
          <w:spacing w:val="-12"/>
        </w:rPr>
        <w:t xml:space="preserve"> </w:t>
      </w:r>
      <w:r>
        <w:t>spending</w:t>
      </w:r>
      <w:r>
        <w:rPr>
          <w:spacing w:val="-11"/>
        </w:rPr>
        <w:t xml:space="preserve"> </w:t>
      </w:r>
      <w:r>
        <w:t>on</w:t>
      </w:r>
      <w:r>
        <w:rPr>
          <w:spacing w:val="-11"/>
        </w:rPr>
        <w:t xml:space="preserve"> </w:t>
      </w:r>
      <w:r>
        <w:t>institutions</w:t>
      </w:r>
      <w:r>
        <w:rPr>
          <w:spacing w:val="-12"/>
        </w:rPr>
        <w:t xml:space="preserve"> </w:t>
      </w:r>
      <w:r>
        <w:t>and</w:t>
      </w:r>
      <w:r>
        <w:rPr>
          <w:spacing w:val="-13"/>
        </w:rPr>
        <w:t xml:space="preserve"> </w:t>
      </w:r>
      <w:r>
        <w:t>advises</w:t>
      </w:r>
      <w:r>
        <w:rPr>
          <w:spacing w:val="-11"/>
        </w:rPr>
        <w:t xml:space="preserve"> </w:t>
      </w:r>
      <w:r>
        <w:t>MS</w:t>
      </w:r>
      <w:r>
        <w:rPr>
          <w:spacing w:val="-11"/>
        </w:rPr>
        <w:t xml:space="preserve"> </w:t>
      </w:r>
      <w:r>
        <w:t>that</w:t>
      </w:r>
      <w:r>
        <w:rPr>
          <w:spacing w:val="-11"/>
        </w:rPr>
        <w:t xml:space="preserve"> </w:t>
      </w:r>
      <w:r>
        <w:t>funds</w:t>
      </w:r>
      <w:r>
        <w:rPr>
          <w:spacing w:val="-12"/>
        </w:rPr>
        <w:t xml:space="preserve"> </w:t>
      </w:r>
      <w:r>
        <w:t>should</w:t>
      </w:r>
      <w:r>
        <w:rPr>
          <w:spacing w:val="-11"/>
        </w:rPr>
        <w:t xml:space="preserve"> </w:t>
      </w:r>
      <w:r>
        <w:t>be</w:t>
      </w:r>
      <w:r>
        <w:rPr>
          <w:spacing w:val="-11"/>
        </w:rPr>
        <w:t xml:space="preserve"> </w:t>
      </w:r>
      <w:r>
        <w:t xml:space="preserve">not used for this purpose. The Guidance also warns against replacing large institutions with smaller settings, which are still institutions (such as group homes). It also does not suggest MS should build day care </w:t>
      </w:r>
      <w:proofErr w:type="spellStart"/>
      <w:r>
        <w:t>centres</w:t>
      </w:r>
      <w:proofErr w:type="spellEnd"/>
      <w:r>
        <w:t xml:space="preserve">, but encourages them to invest in inclusive </w:t>
      </w:r>
      <w:r>
        <w:rPr>
          <w:spacing w:val="-2"/>
        </w:rPr>
        <w:t>education.</w:t>
      </w:r>
    </w:p>
    <w:p w14:paraId="28F9BBFC" w14:textId="77777777" w:rsidR="00161C10" w:rsidRDefault="00CE2C8C">
      <w:pPr>
        <w:pStyle w:val="BodyText"/>
        <w:spacing w:before="120" w:line="276" w:lineRule="auto"/>
        <w:ind w:left="360" w:right="353"/>
        <w:jc w:val="both"/>
      </w:pPr>
      <w:r>
        <w:t xml:space="preserve">As the Guidance has only been published two months ago, we cannot comment on the impact it has on the use of EU funds. We are concerned, however, that the </w:t>
      </w:r>
      <w:proofErr w:type="spellStart"/>
      <w:proofErr w:type="gramStart"/>
      <w:r>
        <w:t>non binding</w:t>
      </w:r>
      <w:proofErr w:type="spellEnd"/>
      <w:proofErr w:type="gramEnd"/>
      <w:r>
        <w:t xml:space="preserve"> nature</w:t>
      </w:r>
      <w:r>
        <w:rPr>
          <w:spacing w:val="-8"/>
        </w:rPr>
        <w:t xml:space="preserve"> </w:t>
      </w:r>
      <w:r>
        <w:t>of</w:t>
      </w:r>
      <w:r>
        <w:rPr>
          <w:spacing w:val="-7"/>
        </w:rPr>
        <w:t xml:space="preserve"> </w:t>
      </w:r>
      <w:r>
        <w:t>the</w:t>
      </w:r>
      <w:r>
        <w:rPr>
          <w:spacing w:val="-7"/>
        </w:rPr>
        <w:t xml:space="preserve"> </w:t>
      </w:r>
      <w:r>
        <w:t>Guidance</w:t>
      </w:r>
      <w:r>
        <w:rPr>
          <w:spacing w:val="-7"/>
        </w:rPr>
        <w:t xml:space="preserve"> </w:t>
      </w:r>
      <w:r>
        <w:t>is</w:t>
      </w:r>
      <w:r>
        <w:rPr>
          <w:spacing w:val="-8"/>
        </w:rPr>
        <w:t xml:space="preserve"> </w:t>
      </w:r>
      <w:proofErr w:type="spellStart"/>
      <w:r>
        <w:t>emphasised</w:t>
      </w:r>
      <w:proofErr w:type="spellEnd"/>
      <w:r>
        <w:rPr>
          <w:spacing w:val="-7"/>
        </w:rPr>
        <w:t xml:space="preserve"> </w:t>
      </w:r>
      <w:r>
        <w:t>throughout</w:t>
      </w:r>
      <w:r>
        <w:rPr>
          <w:spacing w:val="-7"/>
        </w:rPr>
        <w:t xml:space="preserve"> </w:t>
      </w:r>
      <w:r>
        <w:t>the</w:t>
      </w:r>
      <w:r>
        <w:rPr>
          <w:spacing w:val="-7"/>
        </w:rPr>
        <w:t xml:space="preserve"> </w:t>
      </w:r>
      <w:r>
        <w:t>document.</w:t>
      </w:r>
      <w:r>
        <w:rPr>
          <w:spacing w:val="-5"/>
        </w:rPr>
        <w:t xml:space="preserve"> </w:t>
      </w:r>
      <w:r>
        <w:t>There</w:t>
      </w:r>
      <w:r>
        <w:rPr>
          <w:spacing w:val="-5"/>
        </w:rPr>
        <w:t xml:space="preserve"> </w:t>
      </w:r>
      <w:r>
        <w:t>is</w:t>
      </w:r>
      <w:r>
        <w:rPr>
          <w:spacing w:val="-8"/>
        </w:rPr>
        <w:t xml:space="preserve"> </w:t>
      </w:r>
      <w:r>
        <w:t>also</w:t>
      </w:r>
      <w:r>
        <w:rPr>
          <w:spacing w:val="-7"/>
        </w:rPr>
        <w:t xml:space="preserve"> </w:t>
      </w:r>
      <w:r>
        <w:t>nothing</w:t>
      </w:r>
      <w:r>
        <w:rPr>
          <w:spacing w:val="-7"/>
        </w:rPr>
        <w:t xml:space="preserve"> </w:t>
      </w:r>
      <w:r>
        <w:t>to say</w:t>
      </w:r>
      <w:r>
        <w:rPr>
          <w:spacing w:val="-4"/>
        </w:rPr>
        <w:t xml:space="preserve"> </w:t>
      </w:r>
      <w:r>
        <w:t>that</w:t>
      </w:r>
      <w:r>
        <w:rPr>
          <w:spacing w:val="-4"/>
        </w:rPr>
        <w:t xml:space="preserve"> </w:t>
      </w:r>
      <w:r>
        <w:t>the</w:t>
      </w:r>
      <w:r>
        <w:rPr>
          <w:spacing w:val="-4"/>
        </w:rPr>
        <w:t xml:space="preserve"> </w:t>
      </w:r>
      <w:r>
        <w:t>Guidance</w:t>
      </w:r>
      <w:r>
        <w:rPr>
          <w:spacing w:val="-6"/>
        </w:rPr>
        <w:t xml:space="preserve"> </w:t>
      </w:r>
      <w:r>
        <w:t>replaces</w:t>
      </w:r>
      <w:r>
        <w:rPr>
          <w:spacing w:val="-4"/>
        </w:rPr>
        <w:t xml:space="preserve"> </w:t>
      </w:r>
      <w:r>
        <w:t>internal</w:t>
      </w:r>
      <w:r>
        <w:rPr>
          <w:spacing w:val="-5"/>
        </w:rPr>
        <w:t xml:space="preserve"> </w:t>
      </w:r>
      <w:r>
        <w:t>legal</w:t>
      </w:r>
      <w:r>
        <w:rPr>
          <w:spacing w:val="-5"/>
        </w:rPr>
        <w:t xml:space="preserve"> </w:t>
      </w:r>
      <w:r>
        <w:t>notices</w:t>
      </w:r>
      <w:r>
        <w:rPr>
          <w:spacing w:val="-4"/>
        </w:rPr>
        <w:t xml:space="preserve"> </w:t>
      </w:r>
      <w:r>
        <w:t>issued</w:t>
      </w:r>
      <w:r>
        <w:rPr>
          <w:spacing w:val="-4"/>
        </w:rPr>
        <w:t xml:space="preserve"> </w:t>
      </w:r>
      <w:r>
        <w:t>by</w:t>
      </w:r>
      <w:r>
        <w:rPr>
          <w:spacing w:val="-4"/>
        </w:rPr>
        <w:t xml:space="preserve"> </w:t>
      </w:r>
      <w:r>
        <w:t>the</w:t>
      </w:r>
      <w:r>
        <w:rPr>
          <w:spacing w:val="-6"/>
        </w:rPr>
        <w:t xml:space="preserve"> </w:t>
      </w:r>
      <w:r>
        <w:t>Commission</w:t>
      </w:r>
      <w:r>
        <w:rPr>
          <w:spacing w:val="-4"/>
        </w:rPr>
        <w:t xml:space="preserve"> </w:t>
      </w:r>
      <w:r>
        <w:t>services on the topic of ‘transition from institutional to community-based care’, and which allow institutions to be funded by the EU. For the Guidance to be implemented, the EC must ensure that all EC services, as well as the Managing Authorities in the MS, but also civil society and other stakeholders understand the content and that the use of EU funds is conditional on following the Guidance.</w:t>
      </w:r>
    </w:p>
    <w:p w14:paraId="0FAD7011" w14:textId="77777777" w:rsidR="00161C10" w:rsidRDefault="00161C10">
      <w:pPr>
        <w:pStyle w:val="BodyText"/>
        <w:spacing w:line="276" w:lineRule="auto"/>
        <w:jc w:val="both"/>
        <w:sectPr w:rsidR="00161C10">
          <w:pgSz w:w="12240" w:h="15840"/>
          <w:pgMar w:top="1440" w:right="1080" w:bottom="1540" w:left="1080" w:header="0" w:footer="1274" w:gutter="0"/>
          <w:cols w:space="720"/>
        </w:sectPr>
      </w:pPr>
    </w:p>
    <w:p w14:paraId="0BB0F486" w14:textId="77777777" w:rsidR="00161C10" w:rsidRDefault="00CE2C8C">
      <w:pPr>
        <w:pStyle w:val="BodyText"/>
        <w:spacing w:before="81" w:line="276" w:lineRule="auto"/>
        <w:ind w:left="360" w:right="362"/>
        <w:jc w:val="both"/>
      </w:pPr>
      <w:r>
        <w:lastRenderedPageBreak/>
        <w:t>We</w:t>
      </w:r>
      <w:r>
        <w:rPr>
          <w:spacing w:val="-16"/>
        </w:rPr>
        <w:t xml:space="preserve"> </w:t>
      </w:r>
      <w:r>
        <w:t>also</w:t>
      </w:r>
      <w:r>
        <w:rPr>
          <w:spacing w:val="-17"/>
        </w:rPr>
        <w:t xml:space="preserve"> </w:t>
      </w:r>
      <w:r>
        <w:t>note</w:t>
      </w:r>
      <w:r>
        <w:rPr>
          <w:spacing w:val="-16"/>
        </w:rPr>
        <w:t xml:space="preserve"> </w:t>
      </w:r>
      <w:r>
        <w:t>that</w:t>
      </w:r>
      <w:r>
        <w:rPr>
          <w:spacing w:val="-17"/>
        </w:rPr>
        <w:t xml:space="preserve"> </w:t>
      </w:r>
      <w:r>
        <w:t>the</w:t>
      </w:r>
      <w:r>
        <w:rPr>
          <w:spacing w:val="-16"/>
        </w:rPr>
        <w:t xml:space="preserve"> </w:t>
      </w:r>
      <w:r>
        <w:t>good</w:t>
      </w:r>
      <w:r>
        <w:rPr>
          <w:spacing w:val="-16"/>
        </w:rPr>
        <w:t xml:space="preserve"> </w:t>
      </w:r>
      <w:r>
        <w:t>practices</w:t>
      </w:r>
      <w:r>
        <w:rPr>
          <w:spacing w:val="-15"/>
        </w:rPr>
        <w:t xml:space="preserve"> </w:t>
      </w:r>
      <w:r>
        <w:t>that</w:t>
      </w:r>
      <w:r>
        <w:rPr>
          <w:spacing w:val="-17"/>
        </w:rPr>
        <w:t xml:space="preserve"> </w:t>
      </w:r>
      <w:r>
        <w:t>will</w:t>
      </w:r>
      <w:r>
        <w:rPr>
          <w:spacing w:val="-16"/>
        </w:rPr>
        <w:t xml:space="preserve"> </w:t>
      </w:r>
      <w:r>
        <w:t>accompany</w:t>
      </w:r>
      <w:r>
        <w:rPr>
          <w:spacing w:val="-17"/>
        </w:rPr>
        <w:t xml:space="preserve"> </w:t>
      </w:r>
      <w:r>
        <w:t>the</w:t>
      </w:r>
      <w:r>
        <w:rPr>
          <w:spacing w:val="-17"/>
        </w:rPr>
        <w:t xml:space="preserve"> </w:t>
      </w:r>
      <w:r>
        <w:t>Guidance</w:t>
      </w:r>
      <w:r>
        <w:rPr>
          <w:spacing w:val="-13"/>
        </w:rPr>
        <w:t xml:space="preserve"> </w:t>
      </w:r>
      <w:r>
        <w:t>have</w:t>
      </w:r>
      <w:r>
        <w:rPr>
          <w:spacing w:val="-16"/>
        </w:rPr>
        <w:t xml:space="preserve"> </w:t>
      </w:r>
      <w:r>
        <w:t>still</w:t>
      </w:r>
      <w:r>
        <w:rPr>
          <w:spacing w:val="-16"/>
        </w:rPr>
        <w:t xml:space="preserve"> </w:t>
      </w:r>
      <w:r>
        <w:t>not</w:t>
      </w:r>
      <w:r>
        <w:rPr>
          <w:spacing w:val="-17"/>
        </w:rPr>
        <w:t xml:space="preserve"> </w:t>
      </w:r>
      <w:r>
        <w:t>been published by the Commission, therefore we cannot comment on this document.</w:t>
      </w:r>
    </w:p>
    <w:p w14:paraId="1EA182F0" w14:textId="77777777" w:rsidR="00161C10" w:rsidRDefault="00CE2C8C">
      <w:pPr>
        <w:pStyle w:val="BodyText"/>
        <w:spacing w:before="118" w:line="276" w:lineRule="auto"/>
        <w:ind w:left="360" w:right="356"/>
        <w:jc w:val="both"/>
      </w:pPr>
      <w:r>
        <w:t>Regarding the framework for Social Services</w:t>
      </w:r>
      <w:r>
        <w:rPr>
          <w:spacing w:val="-1"/>
        </w:rPr>
        <w:t xml:space="preserve"> </w:t>
      </w:r>
      <w:r>
        <w:t>of Excellence for Persons with Disabilities, ENIL</w:t>
      </w:r>
      <w:r>
        <w:rPr>
          <w:spacing w:val="-14"/>
        </w:rPr>
        <w:t xml:space="preserve"> </w:t>
      </w:r>
      <w:r>
        <w:t>has</w:t>
      </w:r>
      <w:r>
        <w:rPr>
          <w:spacing w:val="-15"/>
        </w:rPr>
        <w:t xml:space="preserve"> </w:t>
      </w:r>
      <w:r>
        <w:t>submitted</w:t>
      </w:r>
      <w:r>
        <w:rPr>
          <w:spacing w:val="-14"/>
        </w:rPr>
        <w:t xml:space="preserve"> </w:t>
      </w:r>
      <w:r>
        <w:t>its</w:t>
      </w:r>
      <w:r>
        <w:rPr>
          <w:spacing w:val="-15"/>
        </w:rPr>
        <w:t xml:space="preserve"> </w:t>
      </w:r>
      <w:hyperlink r:id="rId70">
        <w:r>
          <w:rPr>
            <w:color w:val="1154CC"/>
            <w:u w:val="single" w:color="1154CC"/>
          </w:rPr>
          <w:t>proposal</w:t>
        </w:r>
        <w:r>
          <w:rPr>
            <w:color w:val="1154CC"/>
            <w:spacing w:val="-15"/>
            <w:u w:val="single" w:color="1154CC"/>
          </w:rPr>
          <w:t xml:space="preserve"> </w:t>
        </w:r>
        <w:r>
          <w:rPr>
            <w:color w:val="1154CC"/>
            <w:u w:val="single" w:color="1154CC"/>
          </w:rPr>
          <w:t>to</w:t>
        </w:r>
        <w:r>
          <w:rPr>
            <w:color w:val="1154CC"/>
            <w:spacing w:val="-14"/>
            <w:u w:val="single" w:color="1154CC"/>
          </w:rPr>
          <w:t xml:space="preserve"> </w:t>
        </w:r>
        <w:r>
          <w:rPr>
            <w:color w:val="1154CC"/>
            <w:u w:val="single" w:color="1154CC"/>
          </w:rPr>
          <w:t>the</w:t>
        </w:r>
        <w:r>
          <w:rPr>
            <w:color w:val="1154CC"/>
            <w:spacing w:val="-14"/>
            <w:u w:val="single" w:color="1154CC"/>
          </w:rPr>
          <w:t xml:space="preserve"> </w:t>
        </w:r>
        <w:r>
          <w:rPr>
            <w:color w:val="1154CC"/>
            <w:u w:val="single" w:color="1154CC"/>
          </w:rPr>
          <w:t>Commission</w:t>
        </w:r>
      </w:hyperlink>
      <w:r>
        <w:rPr>
          <w:color w:val="1154CC"/>
          <w:spacing w:val="-12"/>
        </w:rPr>
        <w:t xml:space="preserve"> </w:t>
      </w:r>
      <w:r>
        <w:t>in</w:t>
      </w:r>
      <w:r>
        <w:rPr>
          <w:spacing w:val="-15"/>
        </w:rPr>
        <w:t xml:space="preserve"> </w:t>
      </w:r>
      <w:r>
        <w:t>December</w:t>
      </w:r>
      <w:r>
        <w:rPr>
          <w:spacing w:val="-16"/>
        </w:rPr>
        <w:t xml:space="preserve"> </w:t>
      </w:r>
      <w:r>
        <w:t>2023</w:t>
      </w:r>
      <w:r>
        <w:rPr>
          <w:spacing w:val="-14"/>
        </w:rPr>
        <w:t xml:space="preserve"> </w:t>
      </w:r>
      <w:r>
        <w:t>and</w:t>
      </w:r>
      <w:r>
        <w:rPr>
          <w:spacing w:val="-14"/>
        </w:rPr>
        <w:t xml:space="preserve"> </w:t>
      </w:r>
      <w:r>
        <w:t>has</w:t>
      </w:r>
      <w:r>
        <w:rPr>
          <w:spacing w:val="-15"/>
        </w:rPr>
        <w:t xml:space="preserve"> </w:t>
      </w:r>
      <w:r>
        <w:t>taken</w:t>
      </w:r>
      <w:r>
        <w:rPr>
          <w:spacing w:val="-17"/>
        </w:rPr>
        <w:t xml:space="preserve"> </w:t>
      </w:r>
      <w:r>
        <w:t>part in</w:t>
      </w:r>
      <w:r>
        <w:rPr>
          <w:spacing w:val="-4"/>
        </w:rPr>
        <w:t xml:space="preserve"> </w:t>
      </w:r>
      <w:r>
        <w:t>consultations,</w:t>
      </w:r>
      <w:r>
        <w:rPr>
          <w:spacing w:val="-6"/>
        </w:rPr>
        <w:t xml:space="preserve"> </w:t>
      </w:r>
      <w:r>
        <w:t>but</w:t>
      </w:r>
      <w:r>
        <w:rPr>
          <w:spacing w:val="-4"/>
        </w:rPr>
        <w:t xml:space="preserve"> </w:t>
      </w:r>
      <w:r>
        <w:t>we</w:t>
      </w:r>
      <w:r>
        <w:rPr>
          <w:spacing w:val="-4"/>
        </w:rPr>
        <w:t xml:space="preserve"> </w:t>
      </w:r>
      <w:r>
        <w:t>have</w:t>
      </w:r>
      <w:r>
        <w:rPr>
          <w:spacing w:val="-4"/>
        </w:rPr>
        <w:t xml:space="preserve"> </w:t>
      </w:r>
      <w:r>
        <w:t>not</w:t>
      </w:r>
      <w:r>
        <w:rPr>
          <w:spacing w:val="-4"/>
        </w:rPr>
        <w:t xml:space="preserve"> </w:t>
      </w:r>
      <w:r>
        <w:t>seen</w:t>
      </w:r>
      <w:r>
        <w:rPr>
          <w:spacing w:val="-4"/>
        </w:rPr>
        <w:t xml:space="preserve"> </w:t>
      </w:r>
      <w:r>
        <w:t>a</w:t>
      </w:r>
      <w:r>
        <w:rPr>
          <w:spacing w:val="-4"/>
        </w:rPr>
        <w:t xml:space="preserve"> </w:t>
      </w:r>
      <w:r>
        <w:t>draft</w:t>
      </w:r>
      <w:r>
        <w:rPr>
          <w:spacing w:val="-6"/>
        </w:rPr>
        <w:t xml:space="preserve"> </w:t>
      </w:r>
      <w:r>
        <w:t>of</w:t>
      </w:r>
      <w:r>
        <w:rPr>
          <w:spacing w:val="-4"/>
        </w:rPr>
        <w:t xml:space="preserve"> </w:t>
      </w:r>
      <w:r>
        <w:t>the</w:t>
      </w:r>
      <w:r>
        <w:rPr>
          <w:spacing w:val="-4"/>
        </w:rPr>
        <w:t xml:space="preserve"> </w:t>
      </w:r>
      <w:r>
        <w:t>document,</w:t>
      </w:r>
      <w:r>
        <w:rPr>
          <w:spacing w:val="-4"/>
        </w:rPr>
        <w:t xml:space="preserve"> </w:t>
      </w:r>
      <w:r>
        <w:t>which</w:t>
      </w:r>
      <w:r>
        <w:rPr>
          <w:spacing w:val="-4"/>
        </w:rPr>
        <w:t xml:space="preserve"> </w:t>
      </w:r>
      <w:r>
        <w:t>has</w:t>
      </w:r>
      <w:r>
        <w:rPr>
          <w:spacing w:val="-4"/>
        </w:rPr>
        <w:t xml:space="preserve"> </w:t>
      </w:r>
      <w:r>
        <w:t>been</w:t>
      </w:r>
      <w:r>
        <w:rPr>
          <w:spacing w:val="-4"/>
        </w:rPr>
        <w:t xml:space="preserve"> </w:t>
      </w:r>
      <w:r>
        <w:t xml:space="preserve">delayed. It would be important that the framework is aligned with the Guidance on independent living, to ensure a consistent approach by the Commission and the MS to the development of services (both </w:t>
      </w:r>
      <w:proofErr w:type="spellStart"/>
      <w:r>
        <w:t>specialised</w:t>
      </w:r>
      <w:proofErr w:type="spellEnd"/>
      <w:r>
        <w:t xml:space="preserve"> and mainstream).</w:t>
      </w:r>
    </w:p>
    <w:p w14:paraId="3528E4E4" w14:textId="77777777" w:rsidR="00161C10" w:rsidRDefault="00CE2C8C">
      <w:pPr>
        <w:spacing w:before="122"/>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7CE1BF0A" w14:textId="77777777" w:rsidR="00161C10" w:rsidRDefault="00CE2C8C">
      <w:pPr>
        <w:pStyle w:val="BodyText"/>
        <w:spacing w:before="1"/>
        <w:rPr>
          <w:rFonts w:ascii="Arial"/>
          <w:b/>
          <w:i/>
          <w:sz w:val="12"/>
        </w:rPr>
      </w:pPr>
      <w:r>
        <w:rPr>
          <w:rFonts w:ascii="Arial"/>
          <w:b/>
          <w:i/>
          <w:noProof/>
          <w:sz w:val="12"/>
        </w:rPr>
        <mc:AlternateContent>
          <mc:Choice Requires="wps">
            <w:drawing>
              <wp:anchor distT="0" distB="0" distL="0" distR="0" simplePos="0" relativeHeight="487597056" behindDoc="1" locked="0" layoutInCell="1" allowOverlap="1" wp14:anchorId="57FEEC8B" wp14:editId="69C57187">
                <wp:simplePos x="0" y="0"/>
                <wp:positionH relativeFrom="page">
                  <wp:posOffset>843076</wp:posOffset>
                </wp:positionH>
                <wp:positionV relativeFrom="paragraph">
                  <wp:posOffset>106831</wp:posOffset>
                </wp:positionV>
                <wp:extent cx="6088380" cy="204597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045970"/>
                        </a:xfrm>
                        <a:prstGeom prst="rect">
                          <a:avLst/>
                        </a:prstGeom>
                        <a:ln w="6095">
                          <a:solidFill>
                            <a:srgbClr val="000000"/>
                          </a:solidFill>
                          <a:prstDash val="solid"/>
                        </a:ln>
                      </wps:spPr>
                      <wps:txbx>
                        <w:txbxContent>
                          <w:p w14:paraId="64F4D729" w14:textId="77777777" w:rsidR="00161C10" w:rsidRDefault="00CE2C8C">
                            <w:pPr>
                              <w:spacing w:before="19" w:line="276" w:lineRule="auto"/>
                              <w:ind w:left="108" w:right="106"/>
                              <w:jc w:val="both"/>
                              <w:rPr>
                                <w:rFonts w:ascii="Arial" w:hAnsi="Arial"/>
                                <w:b/>
                                <w:sz w:val="24"/>
                              </w:rPr>
                            </w:pPr>
                            <w:r>
                              <w:rPr>
                                <w:rFonts w:ascii="Arial" w:hAnsi="Arial"/>
                                <w:b/>
                                <w:sz w:val="24"/>
                              </w:rPr>
                              <w:t>The Committee recommends that the EU applies the Guidance on independent living for persons with disabilities to live independently and to be included in the community as a useful tool to promote UNCRPD compliance when assessing and monitoring EU funds. The Guidance must be used consistently across all the Commission services and by the Managing Authorities, and it should also be promoted</w:t>
                            </w:r>
                            <w:r>
                              <w:rPr>
                                <w:rFonts w:ascii="Arial" w:hAnsi="Arial"/>
                                <w:b/>
                                <w:spacing w:val="-2"/>
                                <w:sz w:val="24"/>
                              </w:rPr>
                              <w:t xml:space="preserve"> </w:t>
                            </w:r>
                            <w:r>
                              <w:rPr>
                                <w:rFonts w:ascii="Arial" w:hAnsi="Arial"/>
                                <w:b/>
                                <w:sz w:val="24"/>
                              </w:rPr>
                              <w:t>among</w:t>
                            </w:r>
                            <w:r>
                              <w:rPr>
                                <w:rFonts w:ascii="Arial" w:hAnsi="Arial"/>
                                <w:b/>
                                <w:spacing w:val="-2"/>
                                <w:sz w:val="24"/>
                              </w:rPr>
                              <w:t xml:space="preserve"> </w:t>
                            </w:r>
                            <w:r>
                              <w:rPr>
                                <w:rFonts w:ascii="Arial" w:hAnsi="Arial"/>
                                <w:b/>
                                <w:sz w:val="24"/>
                              </w:rPr>
                              <w:t>civil</w:t>
                            </w:r>
                            <w:r>
                              <w:rPr>
                                <w:rFonts w:ascii="Arial" w:hAnsi="Arial"/>
                                <w:b/>
                                <w:spacing w:val="-2"/>
                                <w:sz w:val="24"/>
                              </w:rPr>
                              <w:t xml:space="preserve"> </w:t>
                            </w:r>
                            <w:r>
                              <w:rPr>
                                <w:rFonts w:ascii="Arial" w:hAnsi="Arial"/>
                                <w:b/>
                                <w:sz w:val="24"/>
                              </w:rPr>
                              <w:t>society</w:t>
                            </w:r>
                            <w:r>
                              <w:rPr>
                                <w:rFonts w:ascii="Arial" w:hAnsi="Arial"/>
                                <w:b/>
                                <w:spacing w:val="-4"/>
                                <w:sz w:val="24"/>
                              </w:rPr>
                              <w:t xml:space="preserve"> </w:t>
                            </w:r>
                            <w:r>
                              <w:rPr>
                                <w:rFonts w:ascii="Arial" w:hAnsi="Arial"/>
                                <w:b/>
                                <w:sz w:val="24"/>
                              </w:rPr>
                              <w:t>and</w:t>
                            </w:r>
                            <w:r>
                              <w:rPr>
                                <w:rFonts w:ascii="Arial" w:hAnsi="Arial"/>
                                <w:b/>
                                <w:spacing w:val="-2"/>
                                <w:sz w:val="24"/>
                              </w:rPr>
                              <w:t xml:space="preserve"> </w:t>
                            </w:r>
                            <w:r>
                              <w:rPr>
                                <w:rFonts w:ascii="Arial" w:hAnsi="Arial"/>
                                <w:b/>
                                <w:sz w:val="24"/>
                              </w:rPr>
                              <w:t>other</w:t>
                            </w:r>
                            <w:r>
                              <w:rPr>
                                <w:rFonts w:ascii="Arial" w:hAnsi="Arial"/>
                                <w:b/>
                                <w:spacing w:val="-2"/>
                                <w:sz w:val="24"/>
                              </w:rPr>
                              <w:t xml:space="preserve"> </w:t>
                            </w:r>
                            <w:r>
                              <w:rPr>
                                <w:rFonts w:ascii="Arial" w:hAnsi="Arial"/>
                                <w:b/>
                                <w:sz w:val="24"/>
                              </w:rPr>
                              <w:t>stakeholders.</w:t>
                            </w:r>
                            <w:r>
                              <w:rPr>
                                <w:rFonts w:ascii="Arial" w:hAnsi="Arial"/>
                                <w:b/>
                                <w:spacing w:val="-4"/>
                                <w:sz w:val="24"/>
                              </w:rPr>
                              <w:t xml:space="preserve"> </w:t>
                            </w:r>
                            <w:r>
                              <w:rPr>
                                <w:rFonts w:ascii="Arial" w:hAnsi="Arial"/>
                                <w:b/>
                                <w:sz w:val="24"/>
                              </w:rPr>
                              <w:t>The</w:t>
                            </w:r>
                            <w:r>
                              <w:rPr>
                                <w:rFonts w:ascii="Arial" w:hAnsi="Arial"/>
                                <w:b/>
                                <w:spacing w:val="-2"/>
                                <w:sz w:val="24"/>
                              </w:rPr>
                              <w:t xml:space="preserve"> </w:t>
                            </w:r>
                            <w:r>
                              <w:rPr>
                                <w:rFonts w:ascii="Arial" w:hAnsi="Arial"/>
                                <w:b/>
                                <w:sz w:val="24"/>
                              </w:rPr>
                              <w:t>Committee</w:t>
                            </w:r>
                            <w:r>
                              <w:rPr>
                                <w:rFonts w:ascii="Arial" w:hAnsi="Arial"/>
                                <w:b/>
                                <w:spacing w:val="-2"/>
                                <w:sz w:val="24"/>
                              </w:rPr>
                              <w:t xml:space="preserve"> </w:t>
                            </w:r>
                            <w:r>
                              <w:rPr>
                                <w:rFonts w:ascii="Arial" w:hAnsi="Arial"/>
                                <w:b/>
                                <w:sz w:val="24"/>
                              </w:rPr>
                              <w:t>calls</w:t>
                            </w:r>
                            <w:r>
                              <w:rPr>
                                <w:rFonts w:ascii="Arial" w:hAnsi="Arial"/>
                                <w:b/>
                                <w:spacing w:val="-2"/>
                                <w:sz w:val="24"/>
                              </w:rPr>
                              <w:t xml:space="preserve"> </w:t>
                            </w:r>
                            <w:r>
                              <w:rPr>
                                <w:rFonts w:ascii="Arial" w:hAnsi="Arial"/>
                                <w:b/>
                                <w:sz w:val="24"/>
                              </w:rPr>
                              <w:t>on</w:t>
                            </w:r>
                            <w:r>
                              <w:rPr>
                                <w:rFonts w:ascii="Arial" w:hAnsi="Arial"/>
                                <w:b/>
                                <w:spacing w:val="-2"/>
                                <w:sz w:val="24"/>
                              </w:rPr>
                              <w:t xml:space="preserve"> </w:t>
                            </w:r>
                            <w:r>
                              <w:rPr>
                                <w:rFonts w:ascii="Arial" w:hAnsi="Arial"/>
                                <w:b/>
                                <w:sz w:val="24"/>
                              </w:rPr>
                              <w:t xml:space="preserve">the EU to involve disabled people’s </w:t>
                            </w:r>
                            <w:proofErr w:type="spellStart"/>
                            <w:r>
                              <w:rPr>
                                <w:rFonts w:ascii="Arial" w:hAnsi="Arial"/>
                                <w:b/>
                                <w:sz w:val="24"/>
                              </w:rPr>
                              <w:t>organisations</w:t>
                            </w:r>
                            <w:proofErr w:type="spellEnd"/>
                            <w:r>
                              <w:rPr>
                                <w:rFonts w:ascii="Arial" w:hAnsi="Arial"/>
                                <w:b/>
                                <w:sz w:val="24"/>
                              </w:rPr>
                              <w:t xml:space="preserve"> in </w:t>
                            </w:r>
                            <w:proofErr w:type="spellStart"/>
                            <w:r>
                              <w:rPr>
                                <w:rFonts w:ascii="Arial" w:hAnsi="Arial"/>
                                <w:b/>
                                <w:sz w:val="24"/>
                              </w:rPr>
                              <w:t>finalising</w:t>
                            </w:r>
                            <w:proofErr w:type="spellEnd"/>
                            <w:r>
                              <w:rPr>
                                <w:rFonts w:ascii="Arial" w:hAnsi="Arial"/>
                                <w:b/>
                                <w:sz w:val="24"/>
                              </w:rPr>
                              <w:t xml:space="preserve"> the Framework for Social Services of Excellence for Persons with Disabilities, and to ensure that the text is compliant with the UNCRPD, following the example of the Guidance on independent living.</w:t>
                            </w:r>
                          </w:p>
                        </w:txbxContent>
                      </wps:txbx>
                      <wps:bodyPr wrap="square" lIns="0" tIns="0" rIns="0" bIns="0" rtlCol="0">
                        <a:noAutofit/>
                      </wps:bodyPr>
                    </wps:wsp>
                  </a:graphicData>
                </a:graphic>
              </wp:anchor>
            </w:drawing>
          </mc:Choice>
          <mc:Fallback>
            <w:pict>
              <v:shape w14:anchorId="57FEEC8B" id="Textbox 29" o:spid="_x0000_s1046" type="#_x0000_t202" style="position:absolute;margin-left:66.4pt;margin-top:8.4pt;width:479.4pt;height:161.1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" filled="f" strokeweight=".16931mm">
                <v:path arrowok="t"/>
                <v:textbox inset="0,0,0,0">
                  <w:txbxContent>
                    <w:p w14:paraId="64F4D729" w14:textId="77777777" w:rsidR="00161C10" w:rsidRDefault="00CE2C8C">
                      <w:pPr>
                        <w:spacing w:before="19" w:line="276" w:lineRule="auto"/>
                        <w:ind w:left="108" w:right="106"/>
                        <w:jc w:val="both"/>
                        <w:rPr>
                          <w:rFonts w:ascii="Arial" w:hAnsi="Arial"/>
                          <w:b/>
                          <w:sz w:val="24"/>
                        </w:rPr>
                      </w:pPr>
                      <w:r>
                        <w:rPr>
                          <w:rFonts w:ascii="Arial" w:hAnsi="Arial"/>
                          <w:b/>
                          <w:sz w:val="24"/>
                        </w:rPr>
                        <w:t>The Committee recommends that the EU applies the Guidance on independent living for persons with disabilities to live independently and to be included in the community as a useful tool to promote UNCRPD compliance when assessing and monitoring EU funds. The Guidance must be used consistently across all the Commission services and by the Managing Authorities, and it should also be promoted</w:t>
                      </w:r>
                      <w:r>
                        <w:rPr>
                          <w:rFonts w:ascii="Arial" w:hAnsi="Arial"/>
                          <w:b/>
                          <w:spacing w:val="-2"/>
                          <w:sz w:val="24"/>
                        </w:rPr>
                        <w:t xml:space="preserve"> </w:t>
                      </w:r>
                      <w:r>
                        <w:rPr>
                          <w:rFonts w:ascii="Arial" w:hAnsi="Arial"/>
                          <w:b/>
                          <w:sz w:val="24"/>
                        </w:rPr>
                        <w:t>among</w:t>
                      </w:r>
                      <w:r>
                        <w:rPr>
                          <w:rFonts w:ascii="Arial" w:hAnsi="Arial"/>
                          <w:b/>
                          <w:spacing w:val="-2"/>
                          <w:sz w:val="24"/>
                        </w:rPr>
                        <w:t xml:space="preserve"> </w:t>
                      </w:r>
                      <w:r>
                        <w:rPr>
                          <w:rFonts w:ascii="Arial" w:hAnsi="Arial"/>
                          <w:b/>
                          <w:sz w:val="24"/>
                        </w:rPr>
                        <w:t>civil</w:t>
                      </w:r>
                      <w:r>
                        <w:rPr>
                          <w:rFonts w:ascii="Arial" w:hAnsi="Arial"/>
                          <w:b/>
                          <w:spacing w:val="-2"/>
                          <w:sz w:val="24"/>
                        </w:rPr>
                        <w:t xml:space="preserve"> </w:t>
                      </w:r>
                      <w:r>
                        <w:rPr>
                          <w:rFonts w:ascii="Arial" w:hAnsi="Arial"/>
                          <w:b/>
                          <w:sz w:val="24"/>
                        </w:rPr>
                        <w:t>society</w:t>
                      </w:r>
                      <w:r>
                        <w:rPr>
                          <w:rFonts w:ascii="Arial" w:hAnsi="Arial"/>
                          <w:b/>
                          <w:spacing w:val="-4"/>
                          <w:sz w:val="24"/>
                        </w:rPr>
                        <w:t xml:space="preserve"> </w:t>
                      </w:r>
                      <w:r>
                        <w:rPr>
                          <w:rFonts w:ascii="Arial" w:hAnsi="Arial"/>
                          <w:b/>
                          <w:sz w:val="24"/>
                        </w:rPr>
                        <w:t>and</w:t>
                      </w:r>
                      <w:r>
                        <w:rPr>
                          <w:rFonts w:ascii="Arial" w:hAnsi="Arial"/>
                          <w:b/>
                          <w:spacing w:val="-2"/>
                          <w:sz w:val="24"/>
                        </w:rPr>
                        <w:t xml:space="preserve"> </w:t>
                      </w:r>
                      <w:r>
                        <w:rPr>
                          <w:rFonts w:ascii="Arial" w:hAnsi="Arial"/>
                          <w:b/>
                          <w:sz w:val="24"/>
                        </w:rPr>
                        <w:t>other</w:t>
                      </w:r>
                      <w:r>
                        <w:rPr>
                          <w:rFonts w:ascii="Arial" w:hAnsi="Arial"/>
                          <w:b/>
                          <w:spacing w:val="-2"/>
                          <w:sz w:val="24"/>
                        </w:rPr>
                        <w:t xml:space="preserve"> </w:t>
                      </w:r>
                      <w:r>
                        <w:rPr>
                          <w:rFonts w:ascii="Arial" w:hAnsi="Arial"/>
                          <w:b/>
                          <w:sz w:val="24"/>
                        </w:rPr>
                        <w:t>stakeholders.</w:t>
                      </w:r>
                      <w:r>
                        <w:rPr>
                          <w:rFonts w:ascii="Arial" w:hAnsi="Arial"/>
                          <w:b/>
                          <w:spacing w:val="-4"/>
                          <w:sz w:val="24"/>
                        </w:rPr>
                        <w:t xml:space="preserve"> </w:t>
                      </w:r>
                      <w:r>
                        <w:rPr>
                          <w:rFonts w:ascii="Arial" w:hAnsi="Arial"/>
                          <w:b/>
                          <w:sz w:val="24"/>
                        </w:rPr>
                        <w:t>The</w:t>
                      </w:r>
                      <w:r>
                        <w:rPr>
                          <w:rFonts w:ascii="Arial" w:hAnsi="Arial"/>
                          <w:b/>
                          <w:spacing w:val="-2"/>
                          <w:sz w:val="24"/>
                        </w:rPr>
                        <w:t xml:space="preserve"> </w:t>
                      </w:r>
                      <w:r>
                        <w:rPr>
                          <w:rFonts w:ascii="Arial" w:hAnsi="Arial"/>
                          <w:b/>
                          <w:sz w:val="24"/>
                        </w:rPr>
                        <w:t>Committee</w:t>
                      </w:r>
                      <w:r>
                        <w:rPr>
                          <w:rFonts w:ascii="Arial" w:hAnsi="Arial"/>
                          <w:b/>
                          <w:spacing w:val="-2"/>
                          <w:sz w:val="24"/>
                        </w:rPr>
                        <w:t xml:space="preserve"> </w:t>
                      </w:r>
                      <w:r>
                        <w:rPr>
                          <w:rFonts w:ascii="Arial" w:hAnsi="Arial"/>
                          <w:b/>
                          <w:sz w:val="24"/>
                        </w:rPr>
                        <w:t>calls</w:t>
                      </w:r>
                      <w:r>
                        <w:rPr>
                          <w:rFonts w:ascii="Arial" w:hAnsi="Arial"/>
                          <w:b/>
                          <w:spacing w:val="-2"/>
                          <w:sz w:val="24"/>
                        </w:rPr>
                        <w:t xml:space="preserve"> </w:t>
                      </w:r>
                      <w:r>
                        <w:rPr>
                          <w:rFonts w:ascii="Arial" w:hAnsi="Arial"/>
                          <w:b/>
                          <w:sz w:val="24"/>
                        </w:rPr>
                        <w:t>on</w:t>
                      </w:r>
                      <w:r>
                        <w:rPr>
                          <w:rFonts w:ascii="Arial" w:hAnsi="Arial"/>
                          <w:b/>
                          <w:spacing w:val="-2"/>
                          <w:sz w:val="24"/>
                        </w:rPr>
                        <w:t xml:space="preserve"> </w:t>
                      </w:r>
                      <w:r>
                        <w:rPr>
                          <w:rFonts w:ascii="Arial" w:hAnsi="Arial"/>
                          <w:b/>
                          <w:sz w:val="24"/>
                        </w:rPr>
                        <w:t xml:space="preserve">the EU to involve disabled people’s </w:t>
                      </w:r>
                      <w:proofErr w:type="spellStart"/>
                      <w:r>
                        <w:rPr>
                          <w:rFonts w:ascii="Arial" w:hAnsi="Arial"/>
                          <w:b/>
                          <w:sz w:val="24"/>
                        </w:rPr>
                        <w:t>organisations</w:t>
                      </w:r>
                      <w:proofErr w:type="spellEnd"/>
                      <w:r>
                        <w:rPr>
                          <w:rFonts w:ascii="Arial" w:hAnsi="Arial"/>
                          <w:b/>
                          <w:sz w:val="24"/>
                        </w:rPr>
                        <w:t xml:space="preserve"> in </w:t>
                      </w:r>
                      <w:proofErr w:type="spellStart"/>
                      <w:r>
                        <w:rPr>
                          <w:rFonts w:ascii="Arial" w:hAnsi="Arial"/>
                          <w:b/>
                          <w:sz w:val="24"/>
                        </w:rPr>
                        <w:t>finalising</w:t>
                      </w:r>
                      <w:proofErr w:type="spellEnd"/>
                      <w:r>
                        <w:rPr>
                          <w:rFonts w:ascii="Arial" w:hAnsi="Arial"/>
                          <w:b/>
                          <w:sz w:val="24"/>
                        </w:rPr>
                        <w:t xml:space="preserve"> the Framework for Social Services of Excellence for Persons with Disabilities, and to ensure that the text is compliant with the UNCRPD, following the example of the Guidance on independent living.</w:t>
                      </w:r>
                    </w:p>
                  </w:txbxContent>
                </v:textbox>
                <w10:wrap type="topAndBottom" anchorx="page"/>
              </v:shape>
            </w:pict>
          </mc:Fallback>
        </mc:AlternateContent>
      </w:r>
    </w:p>
    <w:p w14:paraId="7B6AD605" w14:textId="77777777" w:rsidR="00161C10" w:rsidRDefault="00CE2C8C">
      <w:pPr>
        <w:pStyle w:val="Heading4"/>
        <w:numPr>
          <w:ilvl w:val="3"/>
          <w:numId w:val="8"/>
        </w:numPr>
        <w:tabs>
          <w:tab w:val="left" w:pos="1073"/>
        </w:tabs>
        <w:spacing w:before="248"/>
        <w:ind w:hanging="355"/>
        <w:jc w:val="left"/>
      </w:pPr>
      <w:r>
        <w:t>Reply</w:t>
      </w:r>
      <w:r>
        <w:rPr>
          <w:spacing w:val="-2"/>
        </w:rPr>
        <w:t xml:space="preserve"> </w:t>
      </w:r>
      <w:r>
        <w:t>to</w:t>
      </w:r>
      <w:r>
        <w:rPr>
          <w:spacing w:val="-2"/>
        </w:rPr>
        <w:t xml:space="preserve"> </w:t>
      </w:r>
      <w:r>
        <w:t>the</w:t>
      </w:r>
      <w:r>
        <w:rPr>
          <w:spacing w:val="-1"/>
        </w:rPr>
        <w:t xml:space="preserve"> </w:t>
      </w:r>
      <w:r>
        <w:t>issues</w:t>
      </w:r>
      <w:r>
        <w:rPr>
          <w:spacing w:val="-2"/>
        </w:rPr>
        <w:t xml:space="preserve"> </w:t>
      </w:r>
      <w:r>
        <w:t>raised</w:t>
      </w:r>
      <w:r>
        <w:rPr>
          <w:spacing w:val="-5"/>
        </w:rPr>
        <w:t xml:space="preserve"> </w:t>
      </w:r>
      <w:r>
        <w:t>in</w:t>
      </w:r>
      <w:r>
        <w:rPr>
          <w:spacing w:val="-1"/>
        </w:rPr>
        <w:t xml:space="preserve"> </w:t>
      </w:r>
      <w:r>
        <w:t>paragraph</w:t>
      </w:r>
      <w:r>
        <w:rPr>
          <w:spacing w:val="-2"/>
        </w:rPr>
        <w:t xml:space="preserve"> </w:t>
      </w:r>
      <w:r>
        <w:t>21b</w:t>
      </w:r>
      <w:r>
        <w:rPr>
          <w:spacing w:val="-2"/>
        </w:rPr>
        <w:t xml:space="preserve"> </w:t>
      </w:r>
      <w:r>
        <w:t>of</w:t>
      </w:r>
      <w:r>
        <w:rPr>
          <w:spacing w:val="-1"/>
        </w:rPr>
        <w:t xml:space="preserve"> </w:t>
      </w:r>
      <w:r>
        <w:t>the</w:t>
      </w:r>
      <w:r>
        <w:rPr>
          <w:spacing w:val="-2"/>
        </w:rPr>
        <w:t xml:space="preserve"> </w:t>
      </w:r>
      <w:r>
        <w:t>list</w:t>
      </w:r>
      <w:r>
        <w:rPr>
          <w:spacing w:val="-2"/>
        </w:rPr>
        <w:t xml:space="preserve"> </w:t>
      </w:r>
      <w:r>
        <w:t>of</w:t>
      </w:r>
      <w:r>
        <w:rPr>
          <w:spacing w:val="-3"/>
        </w:rPr>
        <w:t xml:space="preserve"> </w:t>
      </w:r>
      <w:r>
        <w:rPr>
          <w:spacing w:val="-2"/>
        </w:rPr>
        <w:t>issues</w:t>
      </w:r>
    </w:p>
    <w:p w14:paraId="4CA17387" w14:textId="77777777" w:rsidR="00161C10" w:rsidRDefault="00CE2C8C">
      <w:pPr>
        <w:spacing w:before="159" w:line="276" w:lineRule="auto"/>
        <w:ind w:left="360" w:right="352"/>
        <w:jc w:val="both"/>
        <w:rPr>
          <w:rFonts w:ascii="Arial" w:hAnsi="Arial"/>
          <w:i/>
          <w:sz w:val="24"/>
        </w:rPr>
      </w:pPr>
      <w:r>
        <w:rPr>
          <w:rFonts w:ascii="Arial" w:hAnsi="Arial"/>
          <w:i/>
          <w:sz w:val="24"/>
        </w:rPr>
        <w:t>The European Union states that it “supports MS in making progress towards deinstitutionalisation and steering investments towards family and community-based solutions”. It adds that the “national authorities can in some cases use EU funding for residential</w:t>
      </w:r>
      <w:r>
        <w:rPr>
          <w:rFonts w:ascii="Arial" w:hAnsi="Arial"/>
          <w:i/>
          <w:spacing w:val="-1"/>
          <w:sz w:val="24"/>
        </w:rPr>
        <w:t xml:space="preserve"> </w:t>
      </w:r>
      <w:r>
        <w:rPr>
          <w:rFonts w:ascii="Arial" w:hAnsi="Arial"/>
          <w:i/>
          <w:sz w:val="24"/>
        </w:rPr>
        <w:t>facilities, since investments in institutions</w:t>
      </w:r>
      <w:r>
        <w:rPr>
          <w:rFonts w:ascii="Arial" w:hAnsi="Arial"/>
          <w:i/>
          <w:spacing w:val="-1"/>
          <w:sz w:val="24"/>
        </w:rPr>
        <w:t xml:space="preserve"> </w:t>
      </w:r>
      <w:r>
        <w:rPr>
          <w:rFonts w:ascii="Arial" w:hAnsi="Arial"/>
          <w:i/>
          <w:sz w:val="24"/>
        </w:rPr>
        <w:t>are not prohibited by the applicable legal framework”. In such cases, the EU claims that “the programming documents comprise specific safeguards. These safeguards require to ensure compliance with the UN CRPD, including general comment No. 5 and the concluding observations, the national deinstitutionalisation strategy, the EU Charter, and the strategy.”</w:t>
      </w:r>
    </w:p>
    <w:p w14:paraId="68D9E9AB" w14:textId="77777777" w:rsidR="00161C10" w:rsidRDefault="00CE2C8C">
      <w:pPr>
        <w:pStyle w:val="BodyText"/>
        <w:spacing w:before="118" w:line="276" w:lineRule="auto"/>
        <w:ind w:left="360" w:right="353"/>
        <w:jc w:val="both"/>
      </w:pPr>
      <w:r>
        <w:t xml:space="preserve">ENIL remains deeply concerned about the EU’s misinterpretation of the obligations stemming from the UNCRPD, </w:t>
      </w:r>
      <w:proofErr w:type="gramStart"/>
      <w:r>
        <w:t>despite the fact that</w:t>
      </w:r>
      <w:proofErr w:type="gramEnd"/>
      <w:r>
        <w:t xml:space="preserve"> investments in institutions are clearly prohibited,</w:t>
      </w:r>
      <w:r>
        <w:rPr>
          <w:spacing w:val="-17"/>
        </w:rPr>
        <w:t xml:space="preserve"> </w:t>
      </w:r>
      <w:r>
        <w:t>as</w:t>
      </w:r>
      <w:r>
        <w:rPr>
          <w:spacing w:val="-14"/>
        </w:rPr>
        <w:t xml:space="preserve"> </w:t>
      </w:r>
      <w:r>
        <w:t>set</w:t>
      </w:r>
      <w:r>
        <w:rPr>
          <w:spacing w:val="-16"/>
        </w:rPr>
        <w:t xml:space="preserve"> </w:t>
      </w:r>
      <w:r>
        <w:t>out</w:t>
      </w:r>
      <w:r>
        <w:rPr>
          <w:spacing w:val="-13"/>
        </w:rPr>
        <w:t xml:space="preserve"> </w:t>
      </w:r>
      <w:r>
        <w:t>in</w:t>
      </w:r>
      <w:r>
        <w:rPr>
          <w:spacing w:val="-16"/>
        </w:rPr>
        <w:t xml:space="preserve"> </w:t>
      </w:r>
      <w:r>
        <w:t>Article</w:t>
      </w:r>
      <w:r>
        <w:rPr>
          <w:spacing w:val="-16"/>
        </w:rPr>
        <w:t xml:space="preserve"> </w:t>
      </w:r>
      <w:r>
        <w:t>19</w:t>
      </w:r>
      <w:r>
        <w:rPr>
          <w:spacing w:val="-15"/>
        </w:rPr>
        <w:t xml:space="preserve"> </w:t>
      </w:r>
      <w:r>
        <w:t>of</w:t>
      </w:r>
      <w:r>
        <w:rPr>
          <w:spacing w:val="-16"/>
        </w:rPr>
        <w:t xml:space="preserve"> </w:t>
      </w:r>
      <w:r>
        <w:t>the</w:t>
      </w:r>
      <w:r>
        <w:rPr>
          <w:spacing w:val="-13"/>
        </w:rPr>
        <w:t xml:space="preserve"> </w:t>
      </w:r>
      <w:r>
        <w:t>UNCRPD</w:t>
      </w:r>
      <w:r>
        <w:rPr>
          <w:spacing w:val="-14"/>
        </w:rPr>
        <w:t xml:space="preserve"> </w:t>
      </w:r>
      <w:r>
        <w:t>and</w:t>
      </w:r>
      <w:r>
        <w:rPr>
          <w:spacing w:val="-16"/>
        </w:rPr>
        <w:t xml:space="preserve"> </w:t>
      </w:r>
      <w:r>
        <w:t>explained</w:t>
      </w:r>
      <w:r>
        <w:rPr>
          <w:spacing w:val="-15"/>
        </w:rPr>
        <w:t xml:space="preserve"> </w:t>
      </w:r>
      <w:r>
        <w:t>in</w:t>
      </w:r>
      <w:r>
        <w:rPr>
          <w:spacing w:val="-16"/>
        </w:rPr>
        <w:t xml:space="preserve"> </w:t>
      </w:r>
      <w:r>
        <w:t>the</w:t>
      </w:r>
      <w:r>
        <w:rPr>
          <w:spacing w:val="-13"/>
        </w:rPr>
        <w:t xml:space="preserve"> </w:t>
      </w:r>
      <w:r>
        <w:t>General</w:t>
      </w:r>
      <w:r>
        <w:rPr>
          <w:spacing w:val="-17"/>
        </w:rPr>
        <w:t xml:space="preserve"> </w:t>
      </w:r>
      <w:r>
        <w:t>Comment 5, the Guidelines on deinstitutionalisation, including in Emergencies and the CRPD Committee’s</w:t>
      </w:r>
      <w:r>
        <w:rPr>
          <w:spacing w:val="-2"/>
        </w:rPr>
        <w:t xml:space="preserve"> </w:t>
      </w:r>
      <w:r>
        <w:t>jurisprudence.</w:t>
      </w:r>
      <w:r>
        <w:rPr>
          <w:spacing w:val="-1"/>
        </w:rPr>
        <w:t xml:space="preserve"> </w:t>
      </w:r>
      <w:r>
        <w:t>The</w:t>
      </w:r>
      <w:r>
        <w:rPr>
          <w:spacing w:val="-1"/>
        </w:rPr>
        <w:t xml:space="preserve"> </w:t>
      </w:r>
      <w:r>
        <w:t>right</w:t>
      </w:r>
      <w:r>
        <w:rPr>
          <w:spacing w:val="-1"/>
        </w:rPr>
        <w:t xml:space="preserve"> </w:t>
      </w:r>
      <w:r>
        <w:t>to</w:t>
      </w:r>
      <w:r>
        <w:rPr>
          <w:spacing w:val="-1"/>
        </w:rPr>
        <w:t xml:space="preserve"> </w:t>
      </w:r>
      <w:r>
        <w:t>independent</w:t>
      </w:r>
      <w:r>
        <w:rPr>
          <w:spacing w:val="-1"/>
        </w:rPr>
        <w:t xml:space="preserve"> </w:t>
      </w:r>
      <w:r>
        <w:t>living</w:t>
      </w:r>
      <w:r>
        <w:rPr>
          <w:spacing w:val="-1"/>
        </w:rPr>
        <w:t xml:space="preserve"> </w:t>
      </w:r>
      <w:r>
        <w:t>is</w:t>
      </w:r>
      <w:r>
        <w:rPr>
          <w:spacing w:val="-2"/>
        </w:rPr>
        <w:t xml:space="preserve"> </w:t>
      </w:r>
      <w:r>
        <w:t>incompatible</w:t>
      </w:r>
      <w:r>
        <w:rPr>
          <w:spacing w:val="-1"/>
        </w:rPr>
        <w:t xml:space="preserve"> </w:t>
      </w:r>
      <w:r>
        <w:t>with</w:t>
      </w:r>
      <w:r>
        <w:rPr>
          <w:spacing w:val="-3"/>
        </w:rPr>
        <w:t xml:space="preserve"> </w:t>
      </w:r>
      <w:r>
        <w:t>any</w:t>
      </w:r>
      <w:r>
        <w:rPr>
          <w:spacing w:val="-2"/>
        </w:rPr>
        <w:t xml:space="preserve"> </w:t>
      </w:r>
      <w:r>
        <w:t xml:space="preserve">form of </w:t>
      </w:r>
      <w:proofErr w:type="spellStart"/>
      <w:r>
        <w:t>institutionalisation</w:t>
      </w:r>
      <w:proofErr w:type="spellEnd"/>
      <w:r>
        <w:t>, which amounts to discrimination.</w:t>
      </w:r>
    </w:p>
    <w:p w14:paraId="0AE626FB" w14:textId="77777777" w:rsidR="00161C10" w:rsidRDefault="00CE2C8C">
      <w:pPr>
        <w:pStyle w:val="BodyText"/>
        <w:spacing w:before="122" w:line="276" w:lineRule="auto"/>
        <w:ind w:left="360" w:right="357"/>
        <w:jc w:val="both"/>
      </w:pPr>
      <w:r>
        <w:t>We strongly disagree with the claim that there is no legal framework to prevent investments in institutions, with the EU and all MS being party to the UNCRPD. In fact, the</w:t>
      </w:r>
      <w:r>
        <w:rPr>
          <w:spacing w:val="14"/>
        </w:rPr>
        <w:t xml:space="preserve"> </w:t>
      </w:r>
      <w:r>
        <w:t>enabling</w:t>
      </w:r>
      <w:r>
        <w:rPr>
          <w:spacing w:val="15"/>
        </w:rPr>
        <w:t xml:space="preserve"> </w:t>
      </w:r>
      <w:r>
        <w:t>condition</w:t>
      </w:r>
      <w:r>
        <w:rPr>
          <w:spacing w:val="15"/>
        </w:rPr>
        <w:t xml:space="preserve"> </w:t>
      </w:r>
      <w:r>
        <w:t>on</w:t>
      </w:r>
      <w:r>
        <w:rPr>
          <w:spacing w:val="14"/>
        </w:rPr>
        <w:t xml:space="preserve"> </w:t>
      </w:r>
      <w:r>
        <w:t>the</w:t>
      </w:r>
      <w:r>
        <w:rPr>
          <w:spacing w:val="17"/>
        </w:rPr>
        <w:t xml:space="preserve"> </w:t>
      </w:r>
      <w:r>
        <w:t>UNCRPD</w:t>
      </w:r>
      <w:r>
        <w:rPr>
          <w:spacing w:val="20"/>
        </w:rPr>
        <w:t xml:space="preserve"> </w:t>
      </w:r>
      <w:r>
        <w:t>-</w:t>
      </w:r>
      <w:r>
        <w:rPr>
          <w:spacing w:val="16"/>
        </w:rPr>
        <w:t xml:space="preserve"> </w:t>
      </w:r>
      <w:r>
        <w:t>which</w:t>
      </w:r>
      <w:r>
        <w:rPr>
          <w:spacing w:val="15"/>
        </w:rPr>
        <w:t xml:space="preserve"> </w:t>
      </w:r>
      <w:r>
        <w:t>the</w:t>
      </w:r>
      <w:r>
        <w:rPr>
          <w:spacing w:val="14"/>
        </w:rPr>
        <w:t xml:space="preserve"> </w:t>
      </w:r>
      <w:r>
        <w:t>EU</w:t>
      </w:r>
      <w:r>
        <w:rPr>
          <w:spacing w:val="16"/>
        </w:rPr>
        <w:t xml:space="preserve"> </w:t>
      </w:r>
      <w:r>
        <w:t>official</w:t>
      </w:r>
      <w:r>
        <w:rPr>
          <w:spacing w:val="15"/>
        </w:rPr>
        <w:t xml:space="preserve"> </w:t>
      </w:r>
      <w:r>
        <w:t>report</w:t>
      </w:r>
      <w:r>
        <w:rPr>
          <w:spacing w:val="16"/>
        </w:rPr>
        <w:t xml:space="preserve"> </w:t>
      </w:r>
      <w:r>
        <w:t>refers</w:t>
      </w:r>
      <w:r>
        <w:rPr>
          <w:spacing w:val="15"/>
        </w:rPr>
        <w:t xml:space="preserve"> </w:t>
      </w:r>
      <w:r>
        <w:t>to</w:t>
      </w:r>
      <w:r>
        <w:rPr>
          <w:spacing w:val="14"/>
        </w:rPr>
        <w:t xml:space="preserve"> </w:t>
      </w:r>
      <w:r>
        <w:t>in</w:t>
      </w:r>
      <w:r>
        <w:rPr>
          <w:spacing w:val="14"/>
        </w:rPr>
        <w:t xml:space="preserve"> </w:t>
      </w:r>
      <w:r>
        <w:rPr>
          <w:spacing w:val="-4"/>
        </w:rPr>
        <w:t>many</w:t>
      </w:r>
    </w:p>
    <w:p w14:paraId="3A722734" w14:textId="77777777" w:rsidR="00161C10" w:rsidRDefault="00161C10">
      <w:pPr>
        <w:pStyle w:val="BodyText"/>
        <w:spacing w:line="276" w:lineRule="auto"/>
        <w:jc w:val="both"/>
        <w:sectPr w:rsidR="00161C10">
          <w:pgSz w:w="12240" w:h="15840"/>
          <w:pgMar w:top="1360" w:right="1080" w:bottom="1540" w:left="1080" w:header="0" w:footer="1274" w:gutter="0"/>
          <w:cols w:space="720"/>
        </w:sectPr>
      </w:pPr>
    </w:p>
    <w:p w14:paraId="4856BC53" w14:textId="77777777" w:rsidR="00161C10" w:rsidRDefault="00CE2C8C">
      <w:pPr>
        <w:pStyle w:val="BodyText"/>
        <w:spacing w:before="81" w:line="276" w:lineRule="auto"/>
        <w:ind w:left="360" w:right="357"/>
        <w:jc w:val="both"/>
      </w:pPr>
      <w:r>
        <w:lastRenderedPageBreak/>
        <w:t>places as a guarantee of compliance with the Convention - should indeed act as a prohibition, but to our knowledge, the enabling condition on the UNCRPD is not applied in practice. The reality shows that investments of EU funds into institutions are commonplace and are deemed acceptable (and necessary) by the Commission.</w:t>
      </w:r>
    </w:p>
    <w:p w14:paraId="42838C1A" w14:textId="77777777" w:rsidR="00161C10" w:rsidRDefault="00CE2C8C">
      <w:pPr>
        <w:pStyle w:val="BodyText"/>
        <w:spacing w:before="120" w:line="276" w:lineRule="auto"/>
        <w:ind w:left="360" w:right="356"/>
        <w:jc w:val="both"/>
      </w:pPr>
      <w:proofErr w:type="gramStart"/>
      <w:r>
        <w:t>A number of</w:t>
      </w:r>
      <w:proofErr w:type="gramEnd"/>
      <w:r>
        <w:t xml:space="preserve"> Operational </w:t>
      </w:r>
      <w:proofErr w:type="spellStart"/>
      <w:r>
        <w:t>Programmes</w:t>
      </w:r>
      <w:proofErr w:type="spellEnd"/>
      <w:r>
        <w:t xml:space="preserve"> (OPs) for 2021 - 2027, which lay down how MS plan to spend the EU funds and which are approved by the European Commission, contain plans for investments in institutions (for example, Czech Republic, Slovakia, Poland and Portugal). When it comes to Portugal, for example, ENIL’s analysis of the Operational </w:t>
      </w:r>
      <w:proofErr w:type="spellStart"/>
      <w:r>
        <w:t>Programme</w:t>
      </w:r>
      <w:proofErr w:type="spellEnd"/>
      <w:r>
        <w:t xml:space="preserve"> shows what justification is used for such investments. In </w:t>
      </w:r>
      <w:hyperlink r:id="rId71">
        <w:r>
          <w:rPr>
            <w:color w:val="1154CC"/>
            <w:u w:val="single" w:color="1154CC"/>
          </w:rPr>
          <w:t>Madeira,</w:t>
        </w:r>
      </w:hyperlink>
      <w:r>
        <w:rPr>
          <w:color w:val="1154CC"/>
          <w:spacing w:val="-9"/>
        </w:rPr>
        <w:t xml:space="preserve"> </w:t>
      </w:r>
      <w:r>
        <w:t>despite</w:t>
      </w:r>
      <w:r>
        <w:rPr>
          <w:spacing w:val="-9"/>
        </w:rPr>
        <w:t xml:space="preserve"> </w:t>
      </w:r>
      <w:r>
        <w:t>the</w:t>
      </w:r>
      <w:r>
        <w:rPr>
          <w:spacing w:val="-9"/>
        </w:rPr>
        <w:t xml:space="preserve"> </w:t>
      </w:r>
      <w:r>
        <w:t>clear</w:t>
      </w:r>
      <w:r>
        <w:rPr>
          <w:spacing w:val="-11"/>
        </w:rPr>
        <w:t xml:space="preserve"> </w:t>
      </w:r>
      <w:r>
        <w:t>objectives</w:t>
      </w:r>
      <w:r>
        <w:rPr>
          <w:spacing w:val="-10"/>
        </w:rPr>
        <w:t xml:space="preserve"> </w:t>
      </w:r>
      <w:r>
        <w:t>set</w:t>
      </w:r>
      <w:r>
        <w:rPr>
          <w:spacing w:val="-10"/>
        </w:rPr>
        <w:t xml:space="preserve"> </w:t>
      </w:r>
      <w:r>
        <w:t>out</w:t>
      </w:r>
      <w:r>
        <w:rPr>
          <w:spacing w:val="-10"/>
        </w:rPr>
        <w:t xml:space="preserve"> </w:t>
      </w:r>
      <w:r>
        <w:t>in</w:t>
      </w:r>
      <w:r>
        <w:rPr>
          <w:spacing w:val="-10"/>
        </w:rPr>
        <w:t xml:space="preserve"> </w:t>
      </w:r>
      <w:r>
        <w:t>the</w:t>
      </w:r>
      <w:r>
        <w:rPr>
          <w:spacing w:val="-9"/>
        </w:rPr>
        <w:t xml:space="preserve"> </w:t>
      </w:r>
      <w:r>
        <w:t>OP</w:t>
      </w:r>
      <w:r>
        <w:rPr>
          <w:spacing w:val="-9"/>
        </w:rPr>
        <w:t xml:space="preserve"> </w:t>
      </w:r>
      <w:r>
        <w:t>on</w:t>
      </w:r>
      <w:r>
        <w:rPr>
          <w:spacing w:val="-9"/>
        </w:rPr>
        <w:t xml:space="preserve"> </w:t>
      </w:r>
      <w:r>
        <w:t>inclusion</w:t>
      </w:r>
      <w:r>
        <w:rPr>
          <w:spacing w:val="-11"/>
        </w:rPr>
        <w:t xml:space="preserve"> </w:t>
      </w:r>
      <w:r>
        <w:t>and</w:t>
      </w:r>
      <w:r>
        <w:rPr>
          <w:spacing w:val="-9"/>
        </w:rPr>
        <w:t xml:space="preserve"> </w:t>
      </w:r>
      <w:r>
        <w:t>the</w:t>
      </w:r>
      <w:r>
        <w:rPr>
          <w:spacing w:val="-9"/>
        </w:rPr>
        <w:t xml:space="preserve"> </w:t>
      </w:r>
      <w:r>
        <w:t>commitments to not reverse deinstitutionalisation efforts, a clause allows exceptions to this when negotiated with the European Commission.</w:t>
      </w:r>
      <w:hyperlink w:anchor="_bookmark6" w:history="1">
        <w:r>
          <w:rPr>
            <w:position w:val="8"/>
            <w:sz w:val="16"/>
          </w:rPr>
          <w:t>7</w:t>
        </w:r>
      </w:hyperlink>
      <w:r>
        <w:rPr>
          <w:spacing w:val="40"/>
          <w:position w:val="8"/>
          <w:sz w:val="16"/>
        </w:rPr>
        <w:t xml:space="preserve"> </w:t>
      </w:r>
      <w:r>
        <w:t>We expect that, as the internal Legal services note (</w:t>
      </w:r>
      <w:r>
        <w:rPr>
          <w:rFonts w:ascii="Arial" w:hAnsi="Arial"/>
          <w:i/>
        </w:rPr>
        <w:t>see section 3.2.4.</w:t>
      </w:r>
      <w:r>
        <w:t>) allows for investments in institutions in exceptional cases</w:t>
      </w:r>
      <w:r>
        <w:rPr>
          <w:spacing w:val="-5"/>
        </w:rPr>
        <w:t xml:space="preserve"> </w:t>
      </w:r>
      <w:r>
        <w:t>due</w:t>
      </w:r>
      <w:r>
        <w:rPr>
          <w:spacing w:val="-5"/>
        </w:rPr>
        <w:t xml:space="preserve"> </w:t>
      </w:r>
      <w:r>
        <w:t>to</w:t>
      </w:r>
      <w:r>
        <w:rPr>
          <w:spacing w:val="-5"/>
        </w:rPr>
        <w:t xml:space="preserve"> </w:t>
      </w:r>
      <w:r>
        <w:t>local</w:t>
      </w:r>
      <w:r>
        <w:rPr>
          <w:spacing w:val="-6"/>
        </w:rPr>
        <w:t xml:space="preserve"> </w:t>
      </w:r>
      <w:r>
        <w:t>circumstances</w:t>
      </w:r>
      <w:r>
        <w:rPr>
          <w:spacing w:val="-5"/>
        </w:rPr>
        <w:t xml:space="preserve"> </w:t>
      </w:r>
      <w:r>
        <w:t>-</w:t>
      </w:r>
      <w:r>
        <w:rPr>
          <w:spacing w:val="-6"/>
        </w:rPr>
        <w:t xml:space="preserve"> </w:t>
      </w:r>
      <w:r>
        <w:t>which</w:t>
      </w:r>
      <w:r>
        <w:rPr>
          <w:spacing w:val="-7"/>
        </w:rPr>
        <w:t xml:space="preserve"> </w:t>
      </w:r>
      <w:r>
        <w:t>may</w:t>
      </w:r>
      <w:r>
        <w:rPr>
          <w:spacing w:val="-5"/>
        </w:rPr>
        <w:t xml:space="preserve"> </w:t>
      </w:r>
      <w:r>
        <w:t>include</w:t>
      </w:r>
      <w:r>
        <w:rPr>
          <w:spacing w:val="-5"/>
        </w:rPr>
        <w:t xml:space="preserve"> </w:t>
      </w:r>
      <w:r>
        <w:t>islands</w:t>
      </w:r>
      <w:r>
        <w:rPr>
          <w:spacing w:val="-3"/>
        </w:rPr>
        <w:t xml:space="preserve"> </w:t>
      </w:r>
      <w:r>
        <w:t>-</w:t>
      </w:r>
      <w:r>
        <w:rPr>
          <w:spacing w:val="-6"/>
        </w:rPr>
        <w:t xml:space="preserve"> </w:t>
      </w:r>
      <w:r>
        <w:t>these</w:t>
      </w:r>
      <w:r>
        <w:rPr>
          <w:spacing w:val="-5"/>
        </w:rPr>
        <w:t xml:space="preserve"> </w:t>
      </w:r>
      <w:r>
        <w:t>investments</w:t>
      </w:r>
      <w:r>
        <w:rPr>
          <w:spacing w:val="-5"/>
        </w:rPr>
        <w:t xml:space="preserve"> </w:t>
      </w:r>
      <w:r>
        <w:t>will</w:t>
      </w:r>
      <w:r>
        <w:rPr>
          <w:spacing w:val="-6"/>
        </w:rPr>
        <w:t xml:space="preserve"> </w:t>
      </w:r>
      <w:r>
        <w:t xml:space="preserve">be approved. </w:t>
      </w:r>
      <w:proofErr w:type="gramStart"/>
      <w:r>
        <w:t>Needless to say, the</w:t>
      </w:r>
      <w:proofErr w:type="gramEnd"/>
      <w:r>
        <w:t xml:space="preserve"> notion of exceptionality based on local circumstances such as geography is not compliant with the UNCRPD.</w:t>
      </w:r>
    </w:p>
    <w:p w14:paraId="4BA29404" w14:textId="77777777" w:rsidR="00161C10" w:rsidRDefault="00CE2C8C">
      <w:pPr>
        <w:pStyle w:val="BodyText"/>
        <w:spacing w:before="116" w:line="276" w:lineRule="auto"/>
        <w:ind w:left="360" w:right="351"/>
        <w:jc w:val="both"/>
      </w:pPr>
      <w:proofErr w:type="gramStart"/>
      <w:r>
        <w:t>In</w:t>
      </w:r>
      <w:r>
        <w:rPr>
          <w:spacing w:val="-1"/>
        </w:rPr>
        <w:t xml:space="preserve"> </w:t>
      </w:r>
      <w:r>
        <w:t>order</w:t>
      </w:r>
      <w:r>
        <w:rPr>
          <w:spacing w:val="-2"/>
        </w:rPr>
        <w:t xml:space="preserve"> </w:t>
      </w:r>
      <w:r>
        <w:t>to</w:t>
      </w:r>
      <w:proofErr w:type="gramEnd"/>
      <w:r>
        <w:rPr>
          <w:spacing w:val="-4"/>
        </w:rPr>
        <w:t xml:space="preserve"> </w:t>
      </w:r>
      <w:r>
        <w:t>get</w:t>
      </w:r>
      <w:r>
        <w:rPr>
          <w:spacing w:val="-4"/>
        </w:rPr>
        <w:t xml:space="preserve"> </w:t>
      </w:r>
      <w:r>
        <w:t>a</w:t>
      </w:r>
      <w:r>
        <w:rPr>
          <w:spacing w:val="-2"/>
        </w:rPr>
        <w:t xml:space="preserve"> </w:t>
      </w:r>
      <w:r>
        <w:t>better</w:t>
      </w:r>
      <w:r>
        <w:rPr>
          <w:spacing w:val="-7"/>
        </w:rPr>
        <w:t xml:space="preserve"> </w:t>
      </w:r>
      <w:r>
        <w:t>understanding</w:t>
      </w:r>
      <w:r>
        <w:rPr>
          <w:spacing w:val="-3"/>
        </w:rPr>
        <w:t xml:space="preserve"> </w:t>
      </w:r>
      <w:r>
        <w:t>of</w:t>
      </w:r>
      <w:r>
        <w:rPr>
          <w:spacing w:val="-4"/>
        </w:rPr>
        <w:t xml:space="preserve"> </w:t>
      </w:r>
      <w:r>
        <w:t>the</w:t>
      </w:r>
      <w:r>
        <w:rPr>
          <w:spacing w:val="-4"/>
        </w:rPr>
        <w:t xml:space="preserve"> </w:t>
      </w:r>
      <w:r>
        <w:t>projects</w:t>
      </w:r>
      <w:r>
        <w:rPr>
          <w:spacing w:val="-2"/>
        </w:rPr>
        <w:t xml:space="preserve"> </w:t>
      </w:r>
      <w:r>
        <w:t>funded</w:t>
      </w:r>
      <w:r>
        <w:rPr>
          <w:spacing w:val="-4"/>
        </w:rPr>
        <w:t xml:space="preserve"> </w:t>
      </w:r>
      <w:r>
        <w:t>by</w:t>
      </w:r>
      <w:r>
        <w:rPr>
          <w:spacing w:val="-2"/>
        </w:rPr>
        <w:t xml:space="preserve"> </w:t>
      </w:r>
      <w:r>
        <w:t>the</w:t>
      </w:r>
      <w:r>
        <w:rPr>
          <w:spacing w:val="-4"/>
        </w:rPr>
        <w:t xml:space="preserve"> </w:t>
      </w:r>
      <w:r>
        <w:t>EU</w:t>
      </w:r>
      <w:r>
        <w:rPr>
          <w:spacing w:val="-2"/>
        </w:rPr>
        <w:t xml:space="preserve"> </w:t>
      </w:r>
      <w:r>
        <w:t>with</w:t>
      </w:r>
      <w:r>
        <w:rPr>
          <w:spacing w:val="-1"/>
        </w:rPr>
        <w:t xml:space="preserve"> </w:t>
      </w:r>
      <w:r>
        <w:t>the</w:t>
      </w:r>
      <w:r>
        <w:rPr>
          <w:spacing w:val="-2"/>
        </w:rPr>
        <w:t xml:space="preserve"> </w:t>
      </w:r>
      <w:r>
        <w:t xml:space="preserve">objective of “deinstitutionalisation”, ENIL carried out an extensive analysis of the Commission’s </w:t>
      </w:r>
      <w:hyperlink r:id="rId72">
        <w:proofErr w:type="spellStart"/>
        <w:r>
          <w:rPr>
            <w:color w:val="1154CC"/>
            <w:u w:val="single" w:color="1154CC"/>
          </w:rPr>
          <w:t>Kohesio</w:t>
        </w:r>
        <w:proofErr w:type="spellEnd"/>
        <w:r>
          <w:rPr>
            <w:color w:val="1154CC"/>
            <w:u w:val="single" w:color="1154CC"/>
          </w:rPr>
          <w:t xml:space="preserve"> platform</w:t>
        </w:r>
      </w:hyperlink>
      <w:r>
        <w:rPr>
          <w:color w:val="1154CC"/>
        </w:rPr>
        <w:t xml:space="preserve"> </w:t>
      </w:r>
      <w:r>
        <w:t>during 2024. In total, we examined 287 “deinstitutionalisation” projects in</w:t>
      </w:r>
      <w:r>
        <w:rPr>
          <w:spacing w:val="-4"/>
        </w:rPr>
        <w:t xml:space="preserve"> </w:t>
      </w:r>
      <w:r>
        <w:t>11</w:t>
      </w:r>
      <w:r>
        <w:rPr>
          <w:spacing w:val="-6"/>
        </w:rPr>
        <w:t xml:space="preserve"> </w:t>
      </w:r>
      <w:r>
        <w:t>countries</w:t>
      </w:r>
      <w:r>
        <w:rPr>
          <w:spacing w:val="-7"/>
        </w:rPr>
        <w:t xml:space="preserve"> </w:t>
      </w:r>
      <w:r>
        <w:t>financed</w:t>
      </w:r>
      <w:r>
        <w:rPr>
          <w:spacing w:val="-4"/>
        </w:rPr>
        <w:t xml:space="preserve"> </w:t>
      </w:r>
      <w:r>
        <w:t>by</w:t>
      </w:r>
      <w:r>
        <w:rPr>
          <w:spacing w:val="-7"/>
        </w:rPr>
        <w:t xml:space="preserve"> </w:t>
      </w:r>
      <w:r>
        <w:t>EU</w:t>
      </w:r>
      <w:r>
        <w:rPr>
          <w:spacing w:val="-5"/>
        </w:rPr>
        <w:t xml:space="preserve"> </w:t>
      </w:r>
      <w:r>
        <w:t>funds</w:t>
      </w:r>
      <w:r>
        <w:rPr>
          <w:spacing w:val="-7"/>
        </w:rPr>
        <w:t xml:space="preserve"> </w:t>
      </w:r>
      <w:r>
        <w:t>as</w:t>
      </w:r>
      <w:r>
        <w:rPr>
          <w:spacing w:val="-7"/>
        </w:rPr>
        <w:t xml:space="preserve"> </w:t>
      </w:r>
      <w:r>
        <w:t>part</w:t>
      </w:r>
      <w:r>
        <w:rPr>
          <w:spacing w:val="-9"/>
        </w:rPr>
        <w:t xml:space="preserve"> </w:t>
      </w:r>
      <w:r>
        <w:t>of</w:t>
      </w:r>
      <w:r>
        <w:rPr>
          <w:spacing w:val="-4"/>
        </w:rPr>
        <w:t xml:space="preserve"> </w:t>
      </w:r>
      <w:r>
        <w:t>the</w:t>
      </w:r>
      <w:r>
        <w:rPr>
          <w:spacing w:val="-6"/>
        </w:rPr>
        <w:t xml:space="preserve"> </w:t>
      </w:r>
      <w:r>
        <w:t>2014 -</w:t>
      </w:r>
      <w:r>
        <w:rPr>
          <w:spacing w:val="-7"/>
        </w:rPr>
        <w:t xml:space="preserve"> </w:t>
      </w:r>
      <w:r>
        <w:t>2020</w:t>
      </w:r>
      <w:r>
        <w:rPr>
          <w:spacing w:val="-6"/>
        </w:rPr>
        <w:t xml:space="preserve"> </w:t>
      </w:r>
      <w:r>
        <w:t>programming</w:t>
      </w:r>
      <w:r>
        <w:rPr>
          <w:spacing w:val="-5"/>
        </w:rPr>
        <w:t xml:space="preserve"> </w:t>
      </w:r>
      <w:r>
        <w:t>period</w:t>
      </w:r>
      <w:r>
        <w:rPr>
          <w:spacing w:val="-6"/>
        </w:rPr>
        <w:t xml:space="preserve"> </w:t>
      </w:r>
      <w:r>
        <w:t>and found numerous examples of investments into segregated settings. There were many projects consisting of the transformation of large institutions into small group homes; for instance,</w:t>
      </w:r>
      <w:r>
        <w:rPr>
          <w:spacing w:val="-11"/>
        </w:rPr>
        <w:t xml:space="preserve"> </w:t>
      </w:r>
      <w:r>
        <w:t>an</w:t>
      </w:r>
      <w:r>
        <w:rPr>
          <w:spacing w:val="-11"/>
        </w:rPr>
        <w:t xml:space="preserve"> </w:t>
      </w:r>
      <w:r>
        <w:t>example</w:t>
      </w:r>
      <w:r>
        <w:rPr>
          <w:spacing w:val="-11"/>
        </w:rPr>
        <w:t xml:space="preserve"> </w:t>
      </w:r>
      <w:r>
        <w:t>was</w:t>
      </w:r>
      <w:r>
        <w:rPr>
          <w:spacing w:val="-9"/>
        </w:rPr>
        <w:t xml:space="preserve"> </w:t>
      </w:r>
      <w:r>
        <w:t>found</w:t>
      </w:r>
      <w:r>
        <w:rPr>
          <w:spacing w:val="-11"/>
        </w:rPr>
        <w:t xml:space="preserve"> </w:t>
      </w:r>
      <w:r>
        <w:t>in</w:t>
      </w:r>
      <w:r>
        <w:rPr>
          <w:spacing w:val="-11"/>
        </w:rPr>
        <w:t xml:space="preserve"> </w:t>
      </w:r>
      <w:r>
        <w:t>Hungary</w:t>
      </w:r>
      <w:r>
        <w:rPr>
          <w:spacing w:val="-12"/>
        </w:rPr>
        <w:t xml:space="preserve"> </w:t>
      </w:r>
      <w:r>
        <w:t>of</w:t>
      </w:r>
      <w:r>
        <w:rPr>
          <w:spacing w:val="-9"/>
        </w:rPr>
        <w:t xml:space="preserve"> </w:t>
      </w:r>
      <w:r>
        <w:t>replacing</w:t>
      </w:r>
      <w:r>
        <w:rPr>
          <w:spacing w:val="-11"/>
        </w:rPr>
        <w:t xml:space="preserve"> </w:t>
      </w:r>
      <w:r>
        <w:t>an</w:t>
      </w:r>
      <w:r>
        <w:rPr>
          <w:spacing w:val="-8"/>
        </w:rPr>
        <w:t xml:space="preserve"> </w:t>
      </w:r>
      <w:r>
        <w:t>institution</w:t>
      </w:r>
      <w:r>
        <w:rPr>
          <w:spacing w:val="-11"/>
        </w:rPr>
        <w:t xml:space="preserve"> </w:t>
      </w:r>
      <w:r>
        <w:t>for</w:t>
      </w:r>
      <w:r>
        <w:rPr>
          <w:spacing w:val="-12"/>
        </w:rPr>
        <w:t xml:space="preserve"> </w:t>
      </w:r>
      <w:r>
        <w:t>72</w:t>
      </w:r>
      <w:r>
        <w:rPr>
          <w:spacing w:val="-11"/>
        </w:rPr>
        <w:t xml:space="preserve"> </w:t>
      </w:r>
      <w:r>
        <w:t>persons</w:t>
      </w:r>
      <w:r>
        <w:rPr>
          <w:spacing w:val="-9"/>
        </w:rPr>
        <w:t xml:space="preserve"> </w:t>
      </w:r>
      <w:r>
        <w:t>with psycho-social</w:t>
      </w:r>
      <w:r>
        <w:rPr>
          <w:spacing w:val="-17"/>
        </w:rPr>
        <w:t xml:space="preserve"> </w:t>
      </w:r>
      <w:r>
        <w:t>disabilities</w:t>
      </w:r>
      <w:r>
        <w:rPr>
          <w:spacing w:val="-14"/>
        </w:rPr>
        <w:t xml:space="preserve"> </w:t>
      </w:r>
      <w:r>
        <w:t>with</w:t>
      </w:r>
      <w:r>
        <w:rPr>
          <w:spacing w:val="-16"/>
        </w:rPr>
        <w:t xml:space="preserve"> </w:t>
      </w:r>
      <w:r>
        <w:t>a</w:t>
      </w:r>
      <w:r>
        <w:rPr>
          <w:spacing w:val="-17"/>
        </w:rPr>
        <w:t xml:space="preserve"> </w:t>
      </w:r>
      <w:r>
        <w:t>new</w:t>
      </w:r>
      <w:r>
        <w:rPr>
          <w:spacing w:val="-15"/>
        </w:rPr>
        <w:t xml:space="preserve"> </w:t>
      </w:r>
      <w:r>
        <w:t>structure,</w:t>
      </w:r>
      <w:r>
        <w:rPr>
          <w:spacing w:val="-14"/>
        </w:rPr>
        <w:t xml:space="preserve"> </w:t>
      </w:r>
      <w:r>
        <w:t>consisting</w:t>
      </w:r>
      <w:r>
        <w:rPr>
          <w:spacing w:val="-17"/>
        </w:rPr>
        <w:t xml:space="preserve"> </w:t>
      </w:r>
      <w:r>
        <w:t>of</w:t>
      </w:r>
      <w:r>
        <w:rPr>
          <w:spacing w:val="-17"/>
        </w:rPr>
        <w:t xml:space="preserve"> </w:t>
      </w:r>
      <w:r>
        <w:t>6</w:t>
      </w:r>
      <w:r>
        <w:rPr>
          <w:spacing w:val="-16"/>
        </w:rPr>
        <w:t xml:space="preserve"> </w:t>
      </w:r>
      <w:r>
        <w:t>apartments</w:t>
      </w:r>
      <w:r>
        <w:rPr>
          <w:spacing w:val="-14"/>
        </w:rPr>
        <w:t xml:space="preserve"> </w:t>
      </w:r>
      <w:r>
        <w:t>with</w:t>
      </w:r>
      <w:r>
        <w:rPr>
          <w:spacing w:val="-14"/>
        </w:rPr>
        <w:t xml:space="preserve"> </w:t>
      </w:r>
      <w:r>
        <w:t>12</w:t>
      </w:r>
      <w:r>
        <w:rPr>
          <w:spacing w:val="-17"/>
        </w:rPr>
        <w:t xml:space="preserve"> </w:t>
      </w:r>
      <w:r>
        <w:t>persons each. In addition, we found examples of investments into large institutions, small group homes and segregated day care centers; several of these were specifically targeted at disabled</w:t>
      </w:r>
      <w:r>
        <w:rPr>
          <w:spacing w:val="-1"/>
        </w:rPr>
        <w:t xml:space="preserve"> </w:t>
      </w:r>
      <w:r>
        <w:t>children</w:t>
      </w:r>
      <w:r>
        <w:rPr>
          <w:spacing w:val="-2"/>
        </w:rPr>
        <w:t xml:space="preserve"> </w:t>
      </w:r>
      <w:r>
        <w:t>or</w:t>
      </w:r>
      <w:r>
        <w:rPr>
          <w:spacing w:val="-2"/>
        </w:rPr>
        <w:t xml:space="preserve"> </w:t>
      </w:r>
      <w:r>
        <w:t>older</w:t>
      </w:r>
      <w:r>
        <w:rPr>
          <w:spacing w:val="-2"/>
        </w:rPr>
        <w:t xml:space="preserve"> </w:t>
      </w:r>
      <w:r>
        <w:t>persons.</w:t>
      </w:r>
      <w:hyperlink w:anchor="_bookmark7" w:history="1">
        <w:r>
          <w:rPr>
            <w:position w:val="8"/>
            <w:sz w:val="16"/>
          </w:rPr>
          <w:t>8</w:t>
        </w:r>
      </w:hyperlink>
      <w:r>
        <w:rPr>
          <w:spacing w:val="20"/>
          <w:position w:val="8"/>
          <w:sz w:val="16"/>
        </w:rPr>
        <w:t xml:space="preserve"> </w:t>
      </w:r>
      <w:r>
        <w:t>More</w:t>
      </w:r>
      <w:r>
        <w:rPr>
          <w:spacing w:val="-2"/>
        </w:rPr>
        <w:t xml:space="preserve"> </w:t>
      </w:r>
      <w:r>
        <w:t>details</w:t>
      </w:r>
      <w:r>
        <w:rPr>
          <w:spacing w:val="-2"/>
        </w:rPr>
        <w:t xml:space="preserve"> </w:t>
      </w:r>
      <w:r>
        <w:t>are</w:t>
      </w:r>
      <w:r>
        <w:rPr>
          <w:spacing w:val="-2"/>
        </w:rPr>
        <w:t xml:space="preserve"> </w:t>
      </w:r>
      <w:r>
        <w:t>available</w:t>
      </w:r>
      <w:r>
        <w:rPr>
          <w:spacing w:val="-2"/>
        </w:rPr>
        <w:t xml:space="preserve"> </w:t>
      </w:r>
      <w:r>
        <w:t>in</w:t>
      </w:r>
      <w:r>
        <w:rPr>
          <w:spacing w:val="-2"/>
        </w:rPr>
        <w:t xml:space="preserve"> </w:t>
      </w:r>
      <w:r>
        <w:t xml:space="preserve">our </w:t>
      </w:r>
      <w:hyperlink r:id="rId73">
        <w:r>
          <w:rPr>
            <w:color w:val="1154CC"/>
            <w:u w:val="single" w:color="1154CC"/>
          </w:rPr>
          <w:t>briefing</w:t>
        </w:r>
      </w:hyperlink>
      <w:r>
        <w:t>,</w:t>
      </w:r>
      <w:r>
        <w:rPr>
          <w:spacing w:val="-2"/>
        </w:rPr>
        <w:t xml:space="preserve"> </w:t>
      </w:r>
      <w:proofErr w:type="spellStart"/>
      <w:r>
        <w:t>finalised</w:t>
      </w:r>
      <w:proofErr w:type="spellEnd"/>
      <w:r>
        <w:rPr>
          <w:spacing w:val="-2"/>
        </w:rPr>
        <w:t xml:space="preserve"> </w:t>
      </w:r>
      <w:r>
        <w:t xml:space="preserve">in December 2024, as well as our </w:t>
      </w:r>
      <w:hyperlink r:id="rId74">
        <w:r>
          <w:rPr>
            <w:color w:val="1154CC"/>
            <w:u w:val="single" w:color="1154CC"/>
          </w:rPr>
          <w:t>2020 study</w:t>
        </w:r>
      </w:hyperlink>
      <w:r>
        <w:rPr>
          <w:color w:val="1154CC"/>
        </w:rPr>
        <w:t xml:space="preserve"> </w:t>
      </w:r>
      <w:r>
        <w:t>on the use of EU funds during 2014 - 2020 and the impact on independent living.</w:t>
      </w:r>
    </w:p>
    <w:p w14:paraId="37153DBD" w14:textId="77777777" w:rsidR="00161C10" w:rsidRDefault="00CE2C8C">
      <w:pPr>
        <w:pStyle w:val="BodyText"/>
        <w:spacing w:before="115" w:line="276" w:lineRule="auto"/>
        <w:ind w:left="360" w:right="357"/>
        <w:jc w:val="both"/>
      </w:pPr>
      <w:r>
        <w:t xml:space="preserve">ENIL, in cooperation with our members, has submitted complaints to the Commission about investments in institutions using its system for </w:t>
      </w:r>
      <w:hyperlink r:id="rId75">
        <w:r>
          <w:rPr>
            <w:color w:val="1154CC"/>
            <w:u w:val="single" w:color="1154CC"/>
          </w:rPr>
          <w:t>reporting a breach of EU law</w:t>
        </w:r>
        <w:r>
          <w:rPr>
            <w:color w:val="1154CC"/>
            <w:spacing w:val="-1"/>
            <w:u w:val="single" w:color="1154CC"/>
          </w:rPr>
          <w:t xml:space="preserve"> </w:t>
        </w:r>
        <w:r>
          <w:rPr>
            <w:color w:val="1154CC"/>
            <w:u w:val="single" w:color="1154CC"/>
          </w:rPr>
          <w:t>by an</w:t>
        </w:r>
      </w:hyperlink>
      <w:r>
        <w:rPr>
          <w:color w:val="1154CC"/>
        </w:rPr>
        <w:t xml:space="preserve"> </w:t>
      </w:r>
      <w:hyperlink r:id="rId76">
        <w:r>
          <w:rPr>
            <w:color w:val="1154CC"/>
            <w:u w:val="single" w:color="1154CC"/>
          </w:rPr>
          <w:t>EU</w:t>
        </w:r>
        <w:r>
          <w:rPr>
            <w:color w:val="1154CC"/>
            <w:spacing w:val="-6"/>
            <w:u w:val="single" w:color="1154CC"/>
          </w:rPr>
          <w:t xml:space="preserve"> </w:t>
        </w:r>
        <w:r>
          <w:rPr>
            <w:color w:val="1154CC"/>
            <w:u w:val="single" w:color="1154CC"/>
          </w:rPr>
          <w:t>country</w:t>
        </w:r>
      </w:hyperlink>
      <w:r>
        <w:t>.</w:t>
      </w:r>
      <w:r>
        <w:rPr>
          <w:spacing w:val="-7"/>
        </w:rPr>
        <w:t xml:space="preserve"> </w:t>
      </w:r>
      <w:r>
        <w:t>We</w:t>
      </w:r>
      <w:r>
        <w:rPr>
          <w:spacing w:val="-7"/>
        </w:rPr>
        <w:t xml:space="preserve"> </w:t>
      </w:r>
      <w:r>
        <w:t>have</w:t>
      </w:r>
      <w:r>
        <w:rPr>
          <w:spacing w:val="-7"/>
        </w:rPr>
        <w:t xml:space="preserve"> </w:t>
      </w:r>
      <w:r>
        <w:t>complained</w:t>
      </w:r>
      <w:r>
        <w:rPr>
          <w:spacing w:val="-5"/>
        </w:rPr>
        <w:t xml:space="preserve"> </w:t>
      </w:r>
      <w:r>
        <w:t>about</w:t>
      </w:r>
      <w:r>
        <w:rPr>
          <w:spacing w:val="-5"/>
        </w:rPr>
        <w:t xml:space="preserve"> </w:t>
      </w:r>
      <w:r>
        <w:t>violations</w:t>
      </w:r>
      <w:r>
        <w:rPr>
          <w:spacing w:val="-5"/>
        </w:rPr>
        <w:t xml:space="preserve"> </w:t>
      </w:r>
      <w:r>
        <w:t>of</w:t>
      </w:r>
      <w:r>
        <w:rPr>
          <w:spacing w:val="-5"/>
        </w:rPr>
        <w:t xml:space="preserve"> </w:t>
      </w:r>
      <w:r>
        <w:t>the</w:t>
      </w:r>
      <w:r>
        <w:rPr>
          <w:spacing w:val="-5"/>
        </w:rPr>
        <w:t xml:space="preserve"> </w:t>
      </w:r>
      <w:r>
        <w:t>UNCRPD</w:t>
      </w:r>
      <w:r>
        <w:rPr>
          <w:spacing w:val="-6"/>
        </w:rPr>
        <w:t xml:space="preserve"> </w:t>
      </w:r>
      <w:r>
        <w:t>and</w:t>
      </w:r>
      <w:r>
        <w:rPr>
          <w:spacing w:val="-5"/>
        </w:rPr>
        <w:t xml:space="preserve"> </w:t>
      </w:r>
      <w:r>
        <w:t>EU</w:t>
      </w:r>
      <w:r>
        <w:rPr>
          <w:spacing w:val="-6"/>
        </w:rPr>
        <w:t xml:space="preserve"> </w:t>
      </w:r>
      <w:r>
        <w:t>Fundamental Rights Charter in relation to disabled adults and children in Bulgaria, Poland, Hungary,</w:t>
      </w:r>
    </w:p>
    <w:p w14:paraId="44EE3ECC" w14:textId="77777777" w:rsidR="00161C10" w:rsidRDefault="00161C10">
      <w:pPr>
        <w:pStyle w:val="BodyText"/>
        <w:rPr>
          <w:sz w:val="20"/>
        </w:rPr>
      </w:pPr>
    </w:p>
    <w:p w14:paraId="02EBE85D" w14:textId="77777777" w:rsidR="00161C10" w:rsidRDefault="00161C10">
      <w:pPr>
        <w:pStyle w:val="BodyText"/>
        <w:rPr>
          <w:sz w:val="20"/>
        </w:rPr>
      </w:pPr>
    </w:p>
    <w:p w14:paraId="2F3DD981" w14:textId="77777777" w:rsidR="00161C10" w:rsidRDefault="00CE2C8C">
      <w:pPr>
        <w:pStyle w:val="BodyText"/>
        <w:spacing w:before="44"/>
        <w:rPr>
          <w:sz w:val="20"/>
        </w:rPr>
      </w:pPr>
      <w:r>
        <w:rPr>
          <w:noProof/>
          <w:sz w:val="20"/>
        </w:rPr>
        <mc:AlternateContent>
          <mc:Choice Requires="wps">
            <w:drawing>
              <wp:anchor distT="0" distB="0" distL="0" distR="0" simplePos="0" relativeHeight="487597568" behindDoc="1" locked="0" layoutInCell="1" allowOverlap="1" wp14:anchorId="56A12A7F" wp14:editId="7FE83DE6">
                <wp:simplePos x="0" y="0"/>
                <wp:positionH relativeFrom="page">
                  <wp:posOffset>914704</wp:posOffset>
                </wp:positionH>
                <wp:positionV relativeFrom="paragraph">
                  <wp:posOffset>189741</wp:posOffset>
                </wp:positionV>
                <wp:extent cx="1829435" cy="762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EB0E79" id="Graphic 30" o:spid="_x0000_s1026" style="position:absolute;margin-left:1in;margin-top:14.95pt;width:144.05pt;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" path="m1829054,l,,,7620r1829054,l1829054,xe" fillcolor="black" stroked="f">
                <v:path arrowok="t"/>
                <w10:wrap type="topAndBottom" anchorx="page"/>
              </v:shape>
            </w:pict>
          </mc:Fallback>
        </mc:AlternateContent>
      </w:r>
    </w:p>
    <w:p w14:paraId="72CDF9A9" w14:textId="77777777" w:rsidR="00161C10" w:rsidRDefault="00CE2C8C">
      <w:pPr>
        <w:spacing w:before="91"/>
        <w:ind w:left="360" w:right="2084"/>
        <w:rPr>
          <w:sz w:val="20"/>
        </w:rPr>
      </w:pPr>
      <w:bookmarkStart w:id="6" w:name="_bookmark6"/>
      <w:bookmarkEnd w:id="6"/>
      <w:r>
        <w:rPr>
          <w:position w:val="6"/>
          <w:sz w:val="13"/>
        </w:rPr>
        <w:t>7</w:t>
      </w:r>
      <w:r>
        <w:rPr>
          <w:spacing w:val="13"/>
          <w:position w:val="6"/>
          <w:sz w:val="13"/>
        </w:rPr>
        <w:t xml:space="preserve"> </w:t>
      </w:r>
      <w:r>
        <w:rPr>
          <w:sz w:val="20"/>
        </w:rPr>
        <w:t>Madeira</w:t>
      </w:r>
      <w:r>
        <w:rPr>
          <w:spacing w:val="-4"/>
          <w:sz w:val="20"/>
        </w:rPr>
        <w:t xml:space="preserve"> </w:t>
      </w:r>
      <w:r>
        <w:rPr>
          <w:sz w:val="20"/>
        </w:rPr>
        <w:t>Regional</w:t>
      </w:r>
      <w:r>
        <w:rPr>
          <w:spacing w:val="-5"/>
          <w:sz w:val="20"/>
        </w:rPr>
        <w:t xml:space="preserve"> </w:t>
      </w:r>
      <w:proofErr w:type="spellStart"/>
      <w:r>
        <w:rPr>
          <w:sz w:val="20"/>
        </w:rPr>
        <w:t>Programme</w:t>
      </w:r>
      <w:proofErr w:type="spellEnd"/>
      <w:r>
        <w:rPr>
          <w:spacing w:val="-6"/>
          <w:sz w:val="20"/>
        </w:rPr>
        <w:t xml:space="preserve"> </w:t>
      </w:r>
      <w:r>
        <w:rPr>
          <w:sz w:val="20"/>
        </w:rPr>
        <w:t>2021-2027,</w:t>
      </w:r>
      <w:r>
        <w:rPr>
          <w:spacing w:val="-6"/>
          <w:sz w:val="20"/>
        </w:rPr>
        <w:t xml:space="preserve"> </w:t>
      </w:r>
      <w:r>
        <w:rPr>
          <w:sz w:val="20"/>
        </w:rPr>
        <w:t>available</w:t>
      </w:r>
      <w:r>
        <w:rPr>
          <w:spacing w:val="-6"/>
          <w:sz w:val="20"/>
        </w:rPr>
        <w:t xml:space="preserve"> </w:t>
      </w:r>
      <w:r>
        <w:rPr>
          <w:sz w:val="20"/>
        </w:rPr>
        <w:t>at</w:t>
      </w:r>
      <w:r>
        <w:rPr>
          <w:spacing w:val="-4"/>
          <w:sz w:val="20"/>
        </w:rPr>
        <w:t xml:space="preserve"> </w:t>
      </w:r>
      <w:r>
        <w:rPr>
          <w:sz w:val="20"/>
        </w:rPr>
        <w:t>Texto_integral_sfc2021-PRG- 2021PT16FFPR001-1.2_PRMADEIRA.pdf (portugal2030.pt)</w:t>
      </w:r>
    </w:p>
    <w:p w14:paraId="62EFCA65" w14:textId="77777777" w:rsidR="00161C10" w:rsidRDefault="00CE2C8C">
      <w:pPr>
        <w:spacing w:before="1"/>
        <w:ind w:left="360" w:right="1174"/>
        <w:rPr>
          <w:sz w:val="20"/>
        </w:rPr>
      </w:pPr>
      <w:bookmarkStart w:id="7" w:name="_bookmark7"/>
      <w:bookmarkEnd w:id="7"/>
      <w:r>
        <w:rPr>
          <w:position w:val="6"/>
          <w:sz w:val="13"/>
        </w:rPr>
        <w:t>8</w:t>
      </w:r>
      <w:r>
        <w:rPr>
          <w:spacing w:val="15"/>
          <w:position w:val="6"/>
          <w:sz w:val="13"/>
        </w:rPr>
        <w:t xml:space="preserve"> </w:t>
      </w:r>
      <w:r>
        <w:rPr>
          <w:sz w:val="20"/>
        </w:rPr>
        <w:t>ENIL</w:t>
      </w:r>
      <w:r>
        <w:rPr>
          <w:spacing w:val="-2"/>
          <w:sz w:val="20"/>
        </w:rPr>
        <w:t xml:space="preserve"> </w:t>
      </w:r>
      <w:r>
        <w:rPr>
          <w:sz w:val="20"/>
        </w:rPr>
        <w:t>(2024).</w:t>
      </w:r>
      <w:r>
        <w:rPr>
          <w:spacing w:val="-3"/>
          <w:sz w:val="20"/>
        </w:rPr>
        <w:t xml:space="preserve"> </w:t>
      </w:r>
      <w:r>
        <w:rPr>
          <w:rFonts w:ascii="Arial" w:hAnsi="Arial"/>
          <w:i/>
          <w:sz w:val="20"/>
        </w:rPr>
        <w:t>Analysis</w:t>
      </w:r>
      <w:r>
        <w:rPr>
          <w:rFonts w:ascii="Arial" w:hAnsi="Arial"/>
          <w:i/>
          <w:spacing w:val="-3"/>
          <w:sz w:val="20"/>
        </w:rPr>
        <w:t xml:space="preserve"> </w:t>
      </w:r>
      <w:r>
        <w:rPr>
          <w:rFonts w:ascii="Arial" w:hAnsi="Arial"/>
          <w:i/>
          <w:sz w:val="20"/>
        </w:rPr>
        <w:t>of</w:t>
      </w:r>
      <w:r>
        <w:rPr>
          <w:rFonts w:ascii="Arial" w:hAnsi="Arial"/>
          <w:i/>
          <w:spacing w:val="-4"/>
          <w:sz w:val="20"/>
        </w:rPr>
        <w:t xml:space="preserve"> </w:t>
      </w:r>
      <w:r>
        <w:rPr>
          <w:rFonts w:ascii="Arial" w:hAnsi="Arial"/>
          <w:i/>
          <w:sz w:val="20"/>
        </w:rPr>
        <w:t>support</w:t>
      </w:r>
      <w:r>
        <w:rPr>
          <w:rFonts w:ascii="Arial" w:hAnsi="Arial"/>
          <w:i/>
          <w:spacing w:val="-2"/>
          <w:sz w:val="20"/>
        </w:rPr>
        <w:t xml:space="preserve"> </w:t>
      </w:r>
      <w:r>
        <w:rPr>
          <w:rFonts w:ascii="Arial" w:hAnsi="Arial"/>
          <w:i/>
          <w:sz w:val="20"/>
        </w:rPr>
        <w:t>to</w:t>
      </w:r>
      <w:r>
        <w:rPr>
          <w:rFonts w:ascii="Arial" w:hAnsi="Arial"/>
          <w:i/>
          <w:spacing w:val="-2"/>
          <w:sz w:val="20"/>
        </w:rPr>
        <w:t xml:space="preserve"> </w:t>
      </w:r>
      <w:r>
        <w:rPr>
          <w:rFonts w:ascii="Arial" w:hAnsi="Arial"/>
          <w:i/>
          <w:sz w:val="20"/>
        </w:rPr>
        <w:t>‘transition</w:t>
      </w:r>
      <w:r>
        <w:rPr>
          <w:rFonts w:ascii="Arial" w:hAnsi="Arial"/>
          <w:i/>
          <w:spacing w:val="-4"/>
          <w:sz w:val="20"/>
        </w:rPr>
        <w:t xml:space="preserve"> </w:t>
      </w:r>
      <w:r>
        <w:rPr>
          <w:rFonts w:ascii="Arial" w:hAnsi="Arial"/>
          <w:i/>
          <w:sz w:val="20"/>
        </w:rPr>
        <w:t>from</w:t>
      </w:r>
      <w:r>
        <w:rPr>
          <w:rFonts w:ascii="Arial" w:hAnsi="Arial"/>
          <w:i/>
          <w:spacing w:val="-4"/>
          <w:sz w:val="20"/>
        </w:rPr>
        <w:t xml:space="preserve"> </w:t>
      </w:r>
      <w:r>
        <w:rPr>
          <w:rFonts w:ascii="Arial" w:hAnsi="Arial"/>
          <w:i/>
          <w:sz w:val="20"/>
        </w:rPr>
        <w:t>institutional</w:t>
      </w:r>
      <w:r>
        <w:rPr>
          <w:rFonts w:ascii="Arial" w:hAnsi="Arial"/>
          <w:i/>
          <w:spacing w:val="-5"/>
          <w:sz w:val="20"/>
        </w:rPr>
        <w:t xml:space="preserve"> </w:t>
      </w:r>
      <w:r>
        <w:rPr>
          <w:rFonts w:ascii="Arial" w:hAnsi="Arial"/>
          <w:i/>
          <w:sz w:val="20"/>
        </w:rPr>
        <w:t>to</w:t>
      </w:r>
      <w:r>
        <w:rPr>
          <w:rFonts w:ascii="Arial" w:hAnsi="Arial"/>
          <w:i/>
          <w:spacing w:val="-4"/>
          <w:sz w:val="20"/>
        </w:rPr>
        <w:t xml:space="preserve"> </w:t>
      </w:r>
      <w:r>
        <w:rPr>
          <w:rFonts w:ascii="Arial" w:hAnsi="Arial"/>
          <w:i/>
          <w:sz w:val="20"/>
        </w:rPr>
        <w:t>community-based</w:t>
      </w:r>
      <w:r>
        <w:rPr>
          <w:rFonts w:ascii="Arial" w:hAnsi="Arial"/>
          <w:i/>
          <w:spacing w:val="-5"/>
          <w:sz w:val="20"/>
        </w:rPr>
        <w:t xml:space="preserve"> </w:t>
      </w:r>
      <w:r>
        <w:rPr>
          <w:rFonts w:ascii="Arial" w:hAnsi="Arial"/>
          <w:i/>
          <w:sz w:val="20"/>
        </w:rPr>
        <w:t>care’</w:t>
      </w:r>
      <w:r>
        <w:rPr>
          <w:rFonts w:ascii="Arial" w:hAnsi="Arial"/>
          <w:i/>
          <w:spacing w:val="-3"/>
          <w:sz w:val="20"/>
        </w:rPr>
        <w:t xml:space="preserve"> </w:t>
      </w:r>
      <w:r>
        <w:rPr>
          <w:rFonts w:ascii="Arial" w:hAnsi="Arial"/>
          <w:i/>
          <w:sz w:val="20"/>
        </w:rPr>
        <w:t>in</w:t>
      </w:r>
      <w:r>
        <w:rPr>
          <w:rFonts w:ascii="Arial" w:hAnsi="Arial"/>
          <w:i/>
          <w:spacing w:val="-4"/>
          <w:sz w:val="20"/>
        </w:rPr>
        <w:t xml:space="preserve"> </w:t>
      </w:r>
      <w:r>
        <w:rPr>
          <w:rFonts w:ascii="Arial" w:hAnsi="Arial"/>
          <w:i/>
          <w:sz w:val="20"/>
        </w:rPr>
        <w:t>the framework of the European Union’s Cohesion Policy</w:t>
      </w:r>
      <w:r>
        <w:rPr>
          <w:sz w:val="20"/>
        </w:rPr>
        <w:t xml:space="preserve">, available at </w:t>
      </w:r>
      <w:hyperlink r:id="rId77">
        <w:r>
          <w:rPr>
            <w:color w:val="1154CC"/>
            <w:sz w:val="20"/>
            <w:u w:val="single" w:color="1154CC"/>
          </w:rPr>
          <w:t>https://enil.eu/wp-</w:t>
        </w:r>
      </w:hyperlink>
      <w:r>
        <w:rPr>
          <w:color w:val="1154CC"/>
          <w:sz w:val="20"/>
        </w:rPr>
        <w:t xml:space="preserve"> </w:t>
      </w:r>
      <w:hyperlink r:id="rId78">
        <w:r>
          <w:rPr>
            <w:color w:val="1154CC"/>
            <w:spacing w:val="-2"/>
            <w:sz w:val="20"/>
            <w:u w:val="single" w:color="1154CC"/>
          </w:rPr>
          <w:t>content/uploads/2025/01/ENIL-Briefing-on-EU-Funds_with-Annex.pdf</w:t>
        </w:r>
      </w:hyperlink>
    </w:p>
    <w:p w14:paraId="2434643A" w14:textId="77777777" w:rsidR="00161C10" w:rsidRDefault="00161C10">
      <w:pPr>
        <w:rPr>
          <w:sz w:val="20"/>
        </w:rPr>
        <w:sectPr w:rsidR="00161C10">
          <w:pgSz w:w="12240" w:h="15840"/>
          <w:pgMar w:top="1360" w:right="1080" w:bottom="1460" w:left="1080" w:header="0" w:footer="1274" w:gutter="0"/>
          <w:cols w:space="720"/>
        </w:sectPr>
      </w:pPr>
    </w:p>
    <w:p w14:paraId="08F5CF41" w14:textId="77777777" w:rsidR="00161C10" w:rsidRDefault="00CE2C8C">
      <w:pPr>
        <w:pStyle w:val="BodyText"/>
        <w:spacing w:before="81" w:line="276" w:lineRule="auto"/>
        <w:ind w:left="360" w:right="356"/>
        <w:jc w:val="both"/>
      </w:pPr>
      <w:r>
        <w:lastRenderedPageBreak/>
        <w:t>Portugal,</w:t>
      </w:r>
      <w:r>
        <w:rPr>
          <w:spacing w:val="-3"/>
        </w:rPr>
        <w:t xml:space="preserve"> </w:t>
      </w:r>
      <w:r>
        <w:t>Romania</w:t>
      </w:r>
      <w:r>
        <w:rPr>
          <w:spacing w:val="-5"/>
        </w:rPr>
        <w:t xml:space="preserve"> </w:t>
      </w:r>
      <w:r>
        <w:t xml:space="preserve">and </w:t>
      </w:r>
      <w:hyperlink r:id="rId79">
        <w:r>
          <w:rPr>
            <w:color w:val="1154CC"/>
            <w:u w:val="single" w:color="1154CC"/>
          </w:rPr>
          <w:t>Austria</w:t>
        </w:r>
      </w:hyperlink>
      <w:r>
        <w:rPr>
          <w:color w:val="1154CC"/>
          <w:spacing w:val="-1"/>
        </w:rPr>
        <w:t xml:space="preserve"> </w:t>
      </w:r>
      <w:r>
        <w:t>(multiple</w:t>
      </w:r>
      <w:r>
        <w:rPr>
          <w:spacing w:val="-3"/>
        </w:rPr>
        <w:t xml:space="preserve"> </w:t>
      </w:r>
      <w:r>
        <w:t>complaints).</w:t>
      </w:r>
      <w:r>
        <w:rPr>
          <w:spacing w:val="-3"/>
        </w:rPr>
        <w:t xml:space="preserve"> </w:t>
      </w:r>
      <w:r>
        <w:t>All</w:t>
      </w:r>
      <w:r>
        <w:rPr>
          <w:spacing w:val="-4"/>
        </w:rPr>
        <w:t xml:space="preserve"> </w:t>
      </w:r>
      <w:r>
        <w:t>our</w:t>
      </w:r>
      <w:r>
        <w:rPr>
          <w:spacing w:val="-3"/>
        </w:rPr>
        <w:t xml:space="preserve"> </w:t>
      </w:r>
      <w:r>
        <w:t>complaints,</w:t>
      </w:r>
      <w:r>
        <w:rPr>
          <w:spacing w:val="-3"/>
        </w:rPr>
        <w:t xml:space="preserve"> </w:t>
      </w:r>
      <w:r>
        <w:t>which</w:t>
      </w:r>
      <w:r>
        <w:rPr>
          <w:spacing w:val="-3"/>
        </w:rPr>
        <w:t xml:space="preserve"> </w:t>
      </w:r>
      <w:r>
        <w:t>we</w:t>
      </w:r>
      <w:r>
        <w:rPr>
          <w:spacing w:val="-3"/>
        </w:rPr>
        <w:t xml:space="preserve"> </w:t>
      </w:r>
      <w:r>
        <w:t xml:space="preserve">made public on our </w:t>
      </w:r>
      <w:hyperlink r:id="rId80">
        <w:r>
          <w:rPr>
            <w:color w:val="1154CC"/>
            <w:u w:val="single" w:color="1154CC"/>
          </w:rPr>
          <w:t>website</w:t>
        </w:r>
      </w:hyperlink>
      <w:r>
        <w:t>, were dismissed by the Commission.</w:t>
      </w:r>
    </w:p>
    <w:p w14:paraId="591C9D58" w14:textId="77777777" w:rsidR="00161C10" w:rsidRDefault="00CE2C8C">
      <w:pPr>
        <w:spacing w:before="118" w:line="276" w:lineRule="auto"/>
        <w:ind w:left="360" w:right="354"/>
        <w:jc w:val="both"/>
        <w:rPr>
          <w:sz w:val="24"/>
        </w:rPr>
      </w:pPr>
      <w:r>
        <w:rPr>
          <w:sz w:val="24"/>
        </w:rPr>
        <w:t>When it</w:t>
      </w:r>
      <w:r>
        <w:rPr>
          <w:spacing w:val="-3"/>
          <w:sz w:val="24"/>
        </w:rPr>
        <w:t xml:space="preserve"> </w:t>
      </w:r>
      <w:r>
        <w:rPr>
          <w:sz w:val="24"/>
        </w:rPr>
        <w:t>comes</w:t>
      </w:r>
      <w:r>
        <w:rPr>
          <w:spacing w:val="-3"/>
          <w:sz w:val="24"/>
        </w:rPr>
        <w:t xml:space="preserve"> </w:t>
      </w:r>
      <w:r>
        <w:rPr>
          <w:sz w:val="24"/>
        </w:rPr>
        <w:t>to accessibility of infrastructure</w:t>
      </w:r>
      <w:r>
        <w:rPr>
          <w:spacing w:val="-1"/>
          <w:sz w:val="24"/>
        </w:rPr>
        <w:t xml:space="preserve"> </w:t>
      </w:r>
      <w:r>
        <w:rPr>
          <w:sz w:val="24"/>
        </w:rPr>
        <w:t>projects</w:t>
      </w:r>
      <w:r>
        <w:rPr>
          <w:spacing w:val="-3"/>
          <w:sz w:val="24"/>
        </w:rPr>
        <w:t xml:space="preserve"> </w:t>
      </w:r>
      <w:r>
        <w:rPr>
          <w:sz w:val="24"/>
        </w:rPr>
        <w:t>funded</w:t>
      </w:r>
      <w:r>
        <w:rPr>
          <w:spacing w:val="-2"/>
          <w:sz w:val="24"/>
        </w:rPr>
        <w:t xml:space="preserve"> </w:t>
      </w:r>
      <w:r>
        <w:rPr>
          <w:sz w:val="24"/>
        </w:rPr>
        <w:t>by</w:t>
      </w:r>
      <w:r>
        <w:rPr>
          <w:spacing w:val="-3"/>
          <w:sz w:val="24"/>
        </w:rPr>
        <w:t xml:space="preserve"> </w:t>
      </w:r>
      <w:r>
        <w:rPr>
          <w:sz w:val="24"/>
        </w:rPr>
        <w:t>the EU -</w:t>
      </w:r>
      <w:r>
        <w:rPr>
          <w:spacing w:val="-1"/>
          <w:sz w:val="24"/>
        </w:rPr>
        <w:t xml:space="preserve"> </w:t>
      </w:r>
      <w:r>
        <w:rPr>
          <w:sz w:val="24"/>
        </w:rPr>
        <w:t>which</w:t>
      </w:r>
      <w:r>
        <w:rPr>
          <w:spacing w:val="-2"/>
          <w:sz w:val="24"/>
        </w:rPr>
        <w:t xml:space="preserve"> </w:t>
      </w:r>
      <w:r>
        <w:rPr>
          <w:sz w:val="24"/>
        </w:rPr>
        <w:t>is</w:t>
      </w:r>
      <w:r>
        <w:rPr>
          <w:spacing w:val="-3"/>
          <w:sz w:val="24"/>
        </w:rPr>
        <w:t xml:space="preserve"> </w:t>
      </w:r>
      <w:r>
        <w:rPr>
          <w:sz w:val="24"/>
        </w:rPr>
        <w:t xml:space="preserve">also part of the enabling condition on the UNCRPD - </w:t>
      </w:r>
      <w:hyperlink r:id="rId81">
        <w:r>
          <w:rPr>
            <w:color w:val="1154CC"/>
            <w:sz w:val="24"/>
            <w:u w:val="single" w:color="1154CC"/>
          </w:rPr>
          <w:t xml:space="preserve">research by </w:t>
        </w:r>
        <w:proofErr w:type="spellStart"/>
        <w:r>
          <w:rPr>
            <w:color w:val="1154CC"/>
            <w:sz w:val="24"/>
            <w:u w:val="single" w:color="1154CC"/>
          </w:rPr>
          <w:t>organisations</w:t>
        </w:r>
        <w:proofErr w:type="spellEnd"/>
      </w:hyperlink>
      <w:r>
        <w:rPr>
          <w:color w:val="1154CC"/>
          <w:sz w:val="24"/>
        </w:rPr>
        <w:t xml:space="preserve"> </w:t>
      </w:r>
      <w:r>
        <w:rPr>
          <w:sz w:val="24"/>
        </w:rPr>
        <w:t>in Hungary, Slovakia</w:t>
      </w:r>
      <w:r>
        <w:rPr>
          <w:spacing w:val="-7"/>
          <w:sz w:val="24"/>
        </w:rPr>
        <w:t xml:space="preserve"> </w:t>
      </w:r>
      <w:r>
        <w:rPr>
          <w:sz w:val="24"/>
        </w:rPr>
        <w:t>and</w:t>
      </w:r>
      <w:r>
        <w:rPr>
          <w:spacing w:val="-9"/>
          <w:sz w:val="24"/>
        </w:rPr>
        <w:t xml:space="preserve"> </w:t>
      </w:r>
      <w:r>
        <w:rPr>
          <w:sz w:val="24"/>
        </w:rPr>
        <w:t>the</w:t>
      </w:r>
      <w:r>
        <w:rPr>
          <w:spacing w:val="-7"/>
          <w:sz w:val="24"/>
        </w:rPr>
        <w:t xml:space="preserve"> </w:t>
      </w:r>
      <w:r>
        <w:rPr>
          <w:sz w:val="24"/>
        </w:rPr>
        <w:t>Czech</w:t>
      </w:r>
      <w:r>
        <w:rPr>
          <w:spacing w:val="-7"/>
          <w:sz w:val="24"/>
        </w:rPr>
        <w:t xml:space="preserve"> </w:t>
      </w:r>
      <w:r>
        <w:rPr>
          <w:sz w:val="24"/>
        </w:rPr>
        <w:t>Republic</w:t>
      </w:r>
      <w:r>
        <w:rPr>
          <w:spacing w:val="-8"/>
          <w:sz w:val="24"/>
        </w:rPr>
        <w:t xml:space="preserve"> </w:t>
      </w:r>
      <w:r>
        <w:rPr>
          <w:sz w:val="24"/>
        </w:rPr>
        <w:t>from</w:t>
      </w:r>
      <w:r>
        <w:rPr>
          <w:spacing w:val="-8"/>
          <w:sz w:val="24"/>
        </w:rPr>
        <w:t xml:space="preserve"> </w:t>
      </w:r>
      <w:r>
        <w:rPr>
          <w:sz w:val="24"/>
        </w:rPr>
        <w:t>2022</w:t>
      </w:r>
      <w:r>
        <w:rPr>
          <w:spacing w:val="-7"/>
          <w:sz w:val="24"/>
        </w:rPr>
        <w:t xml:space="preserve"> </w:t>
      </w:r>
      <w:r>
        <w:rPr>
          <w:sz w:val="24"/>
        </w:rPr>
        <w:t>revealed</w:t>
      </w:r>
      <w:r>
        <w:rPr>
          <w:spacing w:val="-7"/>
          <w:sz w:val="24"/>
        </w:rPr>
        <w:t xml:space="preserve"> </w:t>
      </w:r>
      <w:r>
        <w:rPr>
          <w:sz w:val="24"/>
        </w:rPr>
        <w:t>that:</w:t>
      </w:r>
      <w:r>
        <w:rPr>
          <w:spacing w:val="-2"/>
          <w:sz w:val="24"/>
        </w:rPr>
        <w:t xml:space="preserve"> </w:t>
      </w:r>
      <w:r>
        <w:rPr>
          <w:rFonts w:ascii="Arial" w:hAnsi="Arial"/>
          <w:i/>
          <w:sz w:val="24"/>
        </w:rPr>
        <w:t>“All</w:t>
      </w:r>
      <w:r>
        <w:rPr>
          <w:rFonts w:ascii="Arial" w:hAnsi="Arial"/>
          <w:i/>
          <w:spacing w:val="-9"/>
          <w:sz w:val="24"/>
        </w:rPr>
        <w:t xml:space="preserve"> </w:t>
      </w:r>
      <w:r>
        <w:rPr>
          <w:rFonts w:ascii="Arial" w:hAnsi="Arial"/>
          <w:i/>
          <w:sz w:val="24"/>
        </w:rPr>
        <w:t>three</w:t>
      </w:r>
      <w:r>
        <w:rPr>
          <w:rFonts w:ascii="Arial" w:hAnsi="Arial"/>
          <w:i/>
          <w:spacing w:val="-9"/>
          <w:sz w:val="24"/>
        </w:rPr>
        <w:t xml:space="preserve"> </w:t>
      </w:r>
      <w:r>
        <w:rPr>
          <w:rFonts w:ascii="Arial" w:hAnsi="Arial"/>
          <w:i/>
          <w:sz w:val="24"/>
        </w:rPr>
        <w:t>countries</w:t>
      </w:r>
      <w:r>
        <w:rPr>
          <w:rFonts w:ascii="Arial" w:hAnsi="Arial"/>
          <w:i/>
          <w:spacing w:val="-8"/>
          <w:sz w:val="24"/>
        </w:rPr>
        <w:t xml:space="preserve"> </w:t>
      </w:r>
      <w:r>
        <w:rPr>
          <w:rFonts w:ascii="Arial" w:hAnsi="Arial"/>
          <w:i/>
          <w:sz w:val="24"/>
        </w:rPr>
        <w:t>reported</w:t>
      </w:r>
      <w:r>
        <w:rPr>
          <w:rFonts w:ascii="Arial" w:hAnsi="Arial"/>
          <w:i/>
          <w:spacing w:val="-7"/>
          <w:sz w:val="24"/>
        </w:rPr>
        <w:t xml:space="preserve"> </w:t>
      </w:r>
      <w:r>
        <w:rPr>
          <w:rFonts w:ascii="Arial" w:hAnsi="Arial"/>
          <w:i/>
          <w:sz w:val="24"/>
        </w:rPr>
        <w:t>a noticeable gap between written law and how it is implemented and enforced by authorities. Regulations are often breached in EU-funded infrastructural investments as well,</w:t>
      </w:r>
      <w:r>
        <w:rPr>
          <w:rFonts w:ascii="Arial" w:hAnsi="Arial"/>
          <w:i/>
          <w:spacing w:val="-17"/>
          <w:sz w:val="24"/>
        </w:rPr>
        <w:t xml:space="preserve"> </w:t>
      </w:r>
      <w:r>
        <w:rPr>
          <w:rFonts w:ascii="Arial" w:hAnsi="Arial"/>
          <w:i/>
          <w:sz w:val="24"/>
        </w:rPr>
        <w:t>for</w:t>
      </w:r>
      <w:r>
        <w:rPr>
          <w:rFonts w:ascii="Arial" w:hAnsi="Arial"/>
          <w:i/>
          <w:spacing w:val="-17"/>
          <w:sz w:val="24"/>
        </w:rPr>
        <w:t xml:space="preserve"> </w:t>
      </w:r>
      <w:r>
        <w:rPr>
          <w:rFonts w:ascii="Arial" w:hAnsi="Arial"/>
          <w:i/>
          <w:sz w:val="24"/>
        </w:rPr>
        <w:t>example</w:t>
      </w:r>
      <w:r>
        <w:rPr>
          <w:rFonts w:ascii="Arial" w:hAnsi="Arial"/>
          <w:i/>
          <w:spacing w:val="-16"/>
          <w:sz w:val="24"/>
        </w:rPr>
        <w:t xml:space="preserve"> </w:t>
      </w:r>
      <w:r>
        <w:rPr>
          <w:rFonts w:ascii="Arial" w:hAnsi="Arial"/>
          <w:i/>
          <w:sz w:val="24"/>
        </w:rPr>
        <w:t>when</w:t>
      </w:r>
      <w:r>
        <w:rPr>
          <w:rFonts w:ascii="Arial" w:hAnsi="Arial"/>
          <w:i/>
          <w:spacing w:val="-17"/>
          <w:sz w:val="24"/>
        </w:rPr>
        <w:t xml:space="preserve"> </w:t>
      </w:r>
      <w:r>
        <w:rPr>
          <w:rFonts w:ascii="Arial" w:hAnsi="Arial"/>
          <w:i/>
          <w:sz w:val="24"/>
        </w:rPr>
        <w:t>authorities</w:t>
      </w:r>
      <w:r>
        <w:rPr>
          <w:rFonts w:ascii="Arial" w:hAnsi="Arial"/>
          <w:i/>
          <w:spacing w:val="-17"/>
          <w:sz w:val="24"/>
        </w:rPr>
        <w:t xml:space="preserve"> </w:t>
      </w:r>
      <w:r>
        <w:rPr>
          <w:rFonts w:ascii="Arial" w:hAnsi="Arial"/>
          <w:i/>
          <w:sz w:val="24"/>
        </w:rPr>
        <w:t>build</w:t>
      </w:r>
      <w:r>
        <w:rPr>
          <w:rFonts w:ascii="Arial" w:hAnsi="Arial"/>
          <w:i/>
          <w:spacing w:val="-17"/>
          <w:sz w:val="24"/>
        </w:rPr>
        <w:t xml:space="preserve"> </w:t>
      </w:r>
      <w:r>
        <w:rPr>
          <w:rFonts w:ascii="Arial" w:hAnsi="Arial"/>
          <w:i/>
          <w:sz w:val="24"/>
        </w:rPr>
        <w:t>new</w:t>
      </w:r>
      <w:r>
        <w:rPr>
          <w:rFonts w:ascii="Arial" w:hAnsi="Arial"/>
          <w:i/>
          <w:spacing w:val="-16"/>
          <w:sz w:val="24"/>
        </w:rPr>
        <w:t xml:space="preserve"> </w:t>
      </w:r>
      <w:r>
        <w:rPr>
          <w:rFonts w:ascii="Arial" w:hAnsi="Arial"/>
          <w:i/>
          <w:sz w:val="24"/>
        </w:rPr>
        <w:t>or</w:t>
      </w:r>
      <w:r>
        <w:rPr>
          <w:rFonts w:ascii="Arial" w:hAnsi="Arial"/>
          <w:i/>
          <w:spacing w:val="-17"/>
          <w:sz w:val="24"/>
        </w:rPr>
        <w:t xml:space="preserve"> </w:t>
      </w:r>
      <w:r>
        <w:rPr>
          <w:rFonts w:ascii="Arial" w:hAnsi="Arial"/>
          <w:i/>
          <w:sz w:val="24"/>
        </w:rPr>
        <w:t>refurbish</w:t>
      </w:r>
      <w:r>
        <w:rPr>
          <w:rFonts w:ascii="Arial" w:hAnsi="Arial"/>
          <w:i/>
          <w:spacing w:val="-17"/>
          <w:sz w:val="24"/>
        </w:rPr>
        <w:t xml:space="preserve"> </w:t>
      </w:r>
      <w:r>
        <w:rPr>
          <w:rFonts w:ascii="Arial" w:hAnsi="Arial"/>
          <w:i/>
          <w:sz w:val="24"/>
        </w:rPr>
        <w:t>old</w:t>
      </w:r>
      <w:r>
        <w:rPr>
          <w:rFonts w:ascii="Arial" w:hAnsi="Arial"/>
          <w:i/>
          <w:spacing w:val="-16"/>
          <w:sz w:val="24"/>
        </w:rPr>
        <w:t xml:space="preserve"> </w:t>
      </w:r>
      <w:r>
        <w:rPr>
          <w:rFonts w:ascii="Arial" w:hAnsi="Arial"/>
          <w:i/>
          <w:sz w:val="24"/>
        </w:rPr>
        <w:t>buildings.”</w:t>
      </w:r>
      <w:r>
        <w:rPr>
          <w:rFonts w:ascii="Arial" w:hAnsi="Arial"/>
          <w:i/>
          <w:spacing w:val="-17"/>
          <w:sz w:val="24"/>
        </w:rPr>
        <w:t xml:space="preserve"> </w:t>
      </w:r>
      <w:r>
        <w:rPr>
          <w:sz w:val="24"/>
        </w:rPr>
        <w:t>ENIL</w:t>
      </w:r>
      <w:r>
        <w:rPr>
          <w:spacing w:val="-17"/>
          <w:sz w:val="24"/>
        </w:rPr>
        <w:t xml:space="preserve"> </w:t>
      </w:r>
      <w:r>
        <w:rPr>
          <w:sz w:val="24"/>
        </w:rPr>
        <w:t>is</w:t>
      </w:r>
      <w:r>
        <w:rPr>
          <w:spacing w:val="-16"/>
          <w:sz w:val="24"/>
        </w:rPr>
        <w:t xml:space="preserve"> </w:t>
      </w:r>
      <w:r>
        <w:rPr>
          <w:sz w:val="24"/>
        </w:rPr>
        <w:t>concerned that</w:t>
      </w:r>
      <w:r>
        <w:rPr>
          <w:spacing w:val="-17"/>
          <w:sz w:val="24"/>
        </w:rPr>
        <w:t xml:space="preserve"> </w:t>
      </w:r>
      <w:r>
        <w:rPr>
          <w:sz w:val="24"/>
        </w:rPr>
        <w:t>the</w:t>
      </w:r>
      <w:r>
        <w:rPr>
          <w:spacing w:val="-17"/>
          <w:sz w:val="24"/>
        </w:rPr>
        <w:t xml:space="preserve"> </w:t>
      </w:r>
      <w:r>
        <w:rPr>
          <w:sz w:val="24"/>
        </w:rPr>
        <w:t>same</w:t>
      </w:r>
      <w:r>
        <w:rPr>
          <w:spacing w:val="-16"/>
          <w:sz w:val="24"/>
        </w:rPr>
        <w:t xml:space="preserve"> </w:t>
      </w:r>
      <w:r>
        <w:rPr>
          <w:sz w:val="24"/>
        </w:rPr>
        <w:t>is</w:t>
      </w:r>
      <w:r>
        <w:rPr>
          <w:spacing w:val="-17"/>
          <w:sz w:val="24"/>
        </w:rPr>
        <w:t xml:space="preserve"> </w:t>
      </w:r>
      <w:r>
        <w:rPr>
          <w:sz w:val="24"/>
        </w:rPr>
        <w:t>true</w:t>
      </w:r>
      <w:r>
        <w:rPr>
          <w:spacing w:val="-17"/>
          <w:sz w:val="24"/>
        </w:rPr>
        <w:t xml:space="preserve"> </w:t>
      </w:r>
      <w:r>
        <w:rPr>
          <w:sz w:val="24"/>
        </w:rPr>
        <w:t>for</w:t>
      </w:r>
      <w:r>
        <w:rPr>
          <w:spacing w:val="-17"/>
          <w:sz w:val="24"/>
        </w:rPr>
        <w:t xml:space="preserve"> </w:t>
      </w:r>
      <w:r>
        <w:rPr>
          <w:sz w:val="24"/>
        </w:rPr>
        <w:t>other</w:t>
      </w:r>
      <w:r>
        <w:rPr>
          <w:spacing w:val="-16"/>
          <w:sz w:val="24"/>
        </w:rPr>
        <w:t xml:space="preserve"> </w:t>
      </w:r>
      <w:r>
        <w:rPr>
          <w:sz w:val="24"/>
        </w:rPr>
        <w:t>countries</w:t>
      </w:r>
      <w:r>
        <w:rPr>
          <w:spacing w:val="-17"/>
          <w:sz w:val="24"/>
        </w:rPr>
        <w:t xml:space="preserve"> </w:t>
      </w:r>
      <w:r>
        <w:rPr>
          <w:sz w:val="24"/>
        </w:rPr>
        <w:t>using</w:t>
      </w:r>
      <w:r>
        <w:rPr>
          <w:spacing w:val="-17"/>
          <w:sz w:val="24"/>
        </w:rPr>
        <w:t xml:space="preserve"> </w:t>
      </w:r>
      <w:r>
        <w:rPr>
          <w:sz w:val="24"/>
        </w:rPr>
        <w:t>EU</w:t>
      </w:r>
      <w:r>
        <w:rPr>
          <w:spacing w:val="-16"/>
          <w:sz w:val="24"/>
        </w:rPr>
        <w:t xml:space="preserve"> </w:t>
      </w:r>
      <w:r>
        <w:rPr>
          <w:sz w:val="24"/>
        </w:rPr>
        <w:t>funds,</w:t>
      </w:r>
      <w:r>
        <w:rPr>
          <w:spacing w:val="-17"/>
          <w:sz w:val="24"/>
        </w:rPr>
        <w:t xml:space="preserve"> </w:t>
      </w:r>
      <w:r>
        <w:rPr>
          <w:sz w:val="24"/>
        </w:rPr>
        <w:t>but</w:t>
      </w:r>
      <w:r>
        <w:rPr>
          <w:spacing w:val="-17"/>
          <w:sz w:val="24"/>
        </w:rPr>
        <w:t xml:space="preserve"> </w:t>
      </w:r>
      <w:r>
        <w:rPr>
          <w:sz w:val="24"/>
        </w:rPr>
        <w:t>due</w:t>
      </w:r>
      <w:r>
        <w:rPr>
          <w:spacing w:val="-16"/>
          <w:sz w:val="24"/>
        </w:rPr>
        <w:t xml:space="preserve"> </w:t>
      </w:r>
      <w:r>
        <w:rPr>
          <w:sz w:val="24"/>
        </w:rPr>
        <w:t>to</w:t>
      </w:r>
      <w:r>
        <w:rPr>
          <w:spacing w:val="-17"/>
          <w:sz w:val="24"/>
        </w:rPr>
        <w:t xml:space="preserve"> </w:t>
      </w:r>
      <w:r>
        <w:rPr>
          <w:sz w:val="24"/>
        </w:rPr>
        <w:t>the</w:t>
      </w:r>
      <w:r>
        <w:rPr>
          <w:spacing w:val="-17"/>
          <w:sz w:val="24"/>
        </w:rPr>
        <w:t xml:space="preserve"> </w:t>
      </w:r>
      <w:r>
        <w:rPr>
          <w:sz w:val="24"/>
        </w:rPr>
        <w:t>lack</w:t>
      </w:r>
      <w:r>
        <w:rPr>
          <w:spacing w:val="-16"/>
          <w:sz w:val="24"/>
        </w:rPr>
        <w:t xml:space="preserve"> </w:t>
      </w:r>
      <w:r>
        <w:rPr>
          <w:sz w:val="24"/>
        </w:rPr>
        <w:t>of</w:t>
      </w:r>
      <w:r>
        <w:rPr>
          <w:spacing w:val="-17"/>
          <w:sz w:val="24"/>
        </w:rPr>
        <w:t xml:space="preserve"> </w:t>
      </w:r>
      <w:r>
        <w:rPr>
          <w:sz w:val="24"/>
        </w:rPr>
        <w:t xml:space="preserve">independent monitoring, a comprehensive MS or EU overview would be extremely challenging to </w:t>
      </w:r>
      <w:r>
        <w:rPr>
          <w:spacing w:val="-2"/>
          <w:sz w:val="24"/>
        </w:rPr>
        <w:t>achieve.</w:t>
      </w:r>
    </w:p>
    <w:p w14:paraId="39CD23AB" w14:textId="77777777" w:rsidR="00161C10" w:rsidRDefault="00CE2C8C">
      <w:pPr>
        <w:pStyle w:val="BodyText"/>
        <w:spacing w:before="123" w:line="276" w:lineRule="auto"/>
        <w:ind w:left="360" w:right="354"/>
        <w:jc w:val="both"/>
      </w:pPr>
      <w:r>
        <w:t xml:space="preserve">It is worth noting that information about projects funded from the 2021 - 2027 programming period is not </w:t>
      </w:r>
      <w:r>
        <w:rPr>
          <w:rFonts w:ascii="Arial"/>
          <w:i/>
        </w:rPr>
        <w:t xml:space="preserve">yet </w:t>
      </w:r>
      <w:r>
        <w:t>available from the Commission, therefore it is impossible to complete a similar analysis as for the previous period. This is indicative of the lack of transparency in relation to the use of EU funds by the MS and makes it much more challenging to file complaints.</w:t>
      </w:r>
    </w:p>
    <w:p w14:paraId="0DDE23C7" w14:textId="77777777" w:rsidR="00161C10" w:rsidRDefault="00CE2C8C">
      <w:pPr>
        <w:spacing w:before="120"/>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1E0F35CE" w14:textId="77777777" w:rsidR="00161C10" w:rsidRDefault="00CE2C8C">
      <w:pPr>
        <w:pStyle w:val="BodyText"/>
        <w:rPr>
          <w:rFonts w:ascii="Arial"/>
          <w:b/>
          <w:i/>
          <w:sz w:val="12"/>
        </w:rPr>
      </w:pPr>
      <w:r>
        <w:rPr>
          <w:rFonts w:ascii="Arial"/>
          <w:b/>
          <w:i/>
          <w:noProof/>
          <w:sz w:val="12"/>
        </w:rPr>
        <mc:AlternateContent>
          <mc:Choice Requires="wps">
            <w:drawing>
              <wp:anchor distT="0" distB="0" distL="0" distR="0" simplePos="0" relativeHeight="487598080" behindDoc="1" locked="0" layoutInCell="1" allowOverlap="1" wp14:anchorId="0B9B92C0" wp14:editId="6A597C55">
                <wp:simplePos x="0" y="0"/>
                <wp:positionH relativeFrom="page">
                  <wp:posOffset>843076</wp:posOffset>
                </wp:positionH>
                <wp:positionV relativeFrom="paragraph">
                  <wp:posOffset>106333</wp:posOffset>
                </wp:positionV>
                <wp:extent cx="6088380" cy="224726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247265"/>
                        </a:xfrm>
                        <a:prstGeom prst="rect">
                          <a:avLst/>
                        </a:prstGeom>
                        <a:ln w="6095">
                          <a:solidFill>
                            <a:srgbClr val="000000"/>
                          </a:solidFill>
                          <a:prstDash val="solid"/>
                        </a:ln>
                      </wps:spPr>
                      <wps:txbx>
                        <w:txbxContent>
                          <w:p w14:paraId="34F9F91B" w14:textId="77777777" w:rsidR="00161C10" w:rsidRDefault="00CE2C8C">
                            <w:pPr>
                              <w:spacing w:before="19" w:line="276" w:lineRule="auto"/>
                              <w:ind w:left="108" w:right="103"/>
                              <w:jc w:val="both"/>
                              <w:rPr>
                                <w:rFonts w:ascii="Arial"/>
                                <w:b/>
                                <w:sz w:val="24"/>
                              </w:rPr>
                            </w:pPr>
                            <w:r>
                              <w:rPr>
                                <w:rFonts w:ascii="Arial"/>
                                <w:b/>
                                <w:sz w:val="24"/>
                              </w:rPr>
                              <w:t>The Committee asks the EU to ensure that the enabling condition on the compliance</w:t>
                            </w:r>
                            <w:r>
                              <w:rPr>
                                <w:rFonts w:ascii="Arial"/>
                                <w:b/>
                                <w:spacing w:val="-3"/>
                                <w:sz w:val="24"/>
                              </w:rPr>
                              <w:t xml:space="preserve"> </w:t>
                            </w:r>
                            <w:r>
                              <w:rPr>
                                <w:rFonts w:ascii="Arial"/>
                                <w:b/>
                                <w:sz w:val="24"/>
                              </w:rPr>
                              <w:t>with</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UNCRPD</w:t>
                            </w:r>
                            <w:r>
                              <w:rPr>
                                <w:rFonts w:ascii="Arial"/>
                                <w:b/>
                                <w:spacing w:val="-3"/>
                                <w:sz w:val="24"/>
                              </w:rPr>
                              <w:t xml:space="preserve"> </w:t>
                            </w:r>
                            <w:r>
                              <w:rPr>
                                <w:rFonts w:ascii="Arial"/>
                                <w:b/>
                                <w:sz w:val="24"/>
                              </w:rPr>
                              <w:t>and</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EU Charter</w:t>
                            </w:r>
                            <w:r>
                              <w:rPr>
                                <w:rFonts w:ascii="Arial"/>
                                <w:b/>
                                <w:spacing w:val="-3"/>
                                <w:sz w:val="24"/>
                              </w:rPr>
                              <w:t xml:space="preserve"> </w:t>
                            </w:r>
                            <w:r>
                              <w:rPr>
                                <w:rFonts w:ascii="Arial"/>
                                <w:b/>
                                <w:sz w:val="24"/>
                              </w:rPr>
                              <w:t>on</w:t>
                            </w:r>
                            <w:r>
                              <w:rPr>
                                <w:rFonts w:ascii="Arial"/>
                                <w:b/>
                                <w:spacing w:val="-3"/>
                                <w:sz w:val="24"/>
                              </w:rPr>
                              <w:t xml:space="preserve"> </w:t>
                            </w:r>
                            <w:r>
                              <w:rPr>
                                <w:rFonts w:ascii="Arial"/>
                                <w:b/>
                                <w:sz w:val="24"/>
                              </w:rPr>
                              <w:t>Fundamental</w:t>
                            </w:r>
                            <w:r>
                              <w:rPr>
                                <w:rFonts w:ascii="Arial"/>
                                <w:b/>
                                <w:spacing w:val="-3"/>
                                <w:sz w:val="24"/>
                              </w:rPr>
                              <w:t xml:space="preserve"> </w:t>
                            </w:r>
                            <w:r>
                              <w:rPr>
                                <w:rFonts w:ascii="Arial"/>
                                <w:b/>
                                <w:sz w:val="24"/>
                              </w:rPr>
                              <w:t>Rights</w:t>
                            </w:r>
                            <w:r>
                              <w:rPr>
                                <w:rFonts w:ascii="Arial"/>
                                <w:b/>
                                <w:spacing w:val="-3"/>
                                <w:sz w:val="24"/>
                              </w:rPr>
                              <w:t xml:space="preserve"> </w:t>
                            </w:r>
                            <w:r>
                              <w:rPr>
                                <w:rFonts w:ascii="Arial"/>
                                <w:b/>
                                <w:sz w:val="24"/>
                              </w:rPr>
                              <w:t>remains in</w:t>
                            </w:r>
                            <w:r>
                              <w:rPr>
                                <w:rFonts w:ascii="Arial"/>
                                <w:b/>
                                <w:spacing w:val="-17"/>
                                <w:sz w:val="24"/>
                              </w:rPr>
                              <w:t xml:space="preserve"> </w:t>
                            </w:r>
                            <w:r>
                              <w:rPr>
                                <w:rFonts w:ascii="Arial"/>
                                <w:b/>
                                <w:sz w:val="24"/>
                              </w:rPr>
                              <w:t>the</w:t>
                            </w:r>
                            <w:r>
                              <w:rPr>
                                <w:rFonts w:ascii="Arial"/>
                                <w:b/>
                                <w:spacing w:val="-17"/>
                                <w:sz w:val="24"/>
                              </w:rPr>
                              <w:t xml:space="preserve"> </w:t>
                            </w:r>
                            <w:r>
                              <w:rPr>
                                <w:rFonts w:ascii="Arial"/>
                                <w:b/>
                                <w:sz w:val="24"/>
                              </w:rPr>
                              <w:t>next</w:t>
                            </w:r>
                            <w:r>
                              <w:rPr>
                                <w:rFonts w:ascii="Arial"/>
                                <w:b/>
                                <w:spacing w:val="-16"/>
                                <w:sz w:val="24"/>
                              </w:rPr>
                              <w:t xml:space="preserve"> </w:t>
                            </w:r>
                            <w:r>
                              <w:rPr>
                                <w:rFonts w:ascii="Arial"/>
                                <w:b/>
                                <w:sz w:val="24"/>
                              </w:rPr>
                              <w:t>budgetary</w:t>
                            </w:r>
                            <w:r>
                              <w:rPr>
                                <w:rFonts w:ascii="Arial"/>
                                <w:b/>
                                <w:spacing w:val="-17"/>
                                <w:sz w:val="24"/>
                              </w:rPr>
                              <w:t xml:space="preserve"> </w:t>
                            </w:r>
                            <w:r>
                              <w:rPr>
                                <w:rFonts w:ascii="Arial"/>
                                <w:b/>
                                <w:sz w:val="24"/>
                              </w:rPr>
                              <w:t>period,</w:t>
                            </w:r>
                            <w:r>
                              <w:rPr>
                                <w:rFonts w:ascii="Arial"/>
                                <w:b/>
                                <w:spacing w:val="-17"/>
                                <w:sz w:val="24"/>
                              </w:rPr>
                              <w:t xml:space="preserve"> </w:t>
                            </w:r>
                            <w:r>
                              <w:rPr>
                                <w:rFonts w:ascii="Arial"/>
                                <w:b/>
                                <w:sz w:val="24"/>
                              </w:rPr>
                              <w:t>but</w:t>
                            </w:r>
                            <w:r>
                              <w:rPr>
                                <w:rFonts w:ascii="Arial"/>
                                <w:b/>
                                <w:spacing w:val="-17"/>
                                <w:sz w:val="24"/>
                              </w:rPr>
                              <w:t xml:space="preserve"> </w:t>
                            </w:r>
                            <w:r>
                              <w:rPr>
                                <w:rFonts w:ascii="Arial"/>
                                <w:b/>
                                <w:sz w:val="24"/>
                              </w:rPr>
                              <w:t>that</w:t>
                            </w:r>
                            <w:r>
                              <w:rPr>
                                <w:rFonts w:ascii="Arial"/>
                                <w:b/>
                                <w:spacing w:val="-16"/>
                                <w:sz w:val="24"/>
                              </w:rPr>
                              <w:t xml:space="preserve"> </w:t>
                            </w:r>
                            <w:r>
                              <w:rPr>
                                <w:rFonts w:ascii="Arial"/>
                                <w:b/>
                                <w:sz w:val="24"/>
                              </w:rPr>
                              <w:t>adequate</w:t>
                            </w:r>
                            <w:r>
                              <w:rPr>
                                <w:rFonts w:ascii="Arial"/>
                                <w:b/>
                                <w:spacing w:val="-17"/>
                                <w:sz w:val="24"/>
                              </w:rPr>
                              <w:t xml:space="preserve"> </w:t>
                            </w:r>
                            <w:r>
                              <w:rPr>
                                <w:rFonts w:ascii="Arial"/>
                                <w:b/>
                                <w:sz w:val="24"/>
                              </w:rPr>
                              <w:t>processes</w:t>
                            </w:r>
                            <w:r>
                              <w:rPr>
                                <w:rFonts w:ascii="Arial"/>
                                <w:b/>
                                <w:spacing w:val="-17"/>
                                <w:sz w:val="24"/>
                              </w:rPr>
                              <w:t xml:space="preserve"> </w:t>
                            </w:r>
                            <w:r>
                              <w:rPr>
                                <w:rFonts w:ascii="Arial"/>
                                <w:b/>
                                <w:sz w:val="24"/>
                              </w:rPr>
                              <w:t>are</w:t>
                            </w:r>
                            <w:r>
                              <w:rPr>
                                <w:rFonts w:ascii="Arial"/>
                                <w:b/>
                                <w:spacing w:val="-16"/>
                                <w:sz w:val="24"/>
                              </w:rPr>
                              <w:t xml:space="preserve"> </w:t>
                            </w:r>
                            <w:r>
                              <w:rPr>
                                <w:rFonts w:ascii="Arial"/>
                                <w:b/>
                                <w:sz w:val="24"/>
                              </w:rPr>
                              <w:t>put</w:t>
                            </w:r>
                            <w:r>
                              <w:rPr>
                                <w:rFonts w:ascii="Arial"/>
                                <w:b/>
                                <w:spacing w:val="-17"/>
                                <w:sz w:val="24"/>
                              </w:rPr>
                              <w:t xml:space="preserve"> </w:t>
                            </w:r>
                            <w:r>
                              <w:rPr>
                                <w:rFonts w:ascii="Arial"/>
                                <w:b/>
                                <w:sz w:val="24"/>
                              </w:rPr>
                              <w:t>in</w:t>
                            </w:r>
                            <w:r>
                              <w:rPr>
                                <w:rFonts w:ascii="Arial"/>
                                <w:b/>
                                <w:spacing w:val="-17"/>
                                <w:sz w:val="24"/>
                              </w:rPr>
                              <w:t xml:space="preserve"> </w:t>
                            </w:r>
                            <w:r>
                              <w:rPr>
                                <w:rFonts w:ascii="Arial"/>
                                <w:b/>
                                <w:sz w:val="24"/>
                              </w:rPr>
                              <w:t>place</w:t>
                            </w:r>
                            <w:r>
                              <w:rPr>
                                <w:rFonts w:ascii="Arial"/>
                                <w:b/>
                                <w:spacing w:val="-16"/>
                                <w:sz w:val="24"/>
                              </w:rPr>
                              <w:t xml:space="preserve"> </w:t>
                            </w:r>
                            <w:r>
                              <w:rPr>
                                <w:rFonts w:ascii="Arial"/>
                                <w:b/>
                                <w:sz w:val="24"/>
                              </w:rPr>
                              <w:t>to</w:t>
                            </w:r>
                            <w:r>
                              <w:rPr>
                                <w:rFonts w:ascii="Arial"/>
                                <w:b/>
                                <w:spacing w:val="-17"/>
                                <w:sz w:val="24"/>
                              </w:rPr>
                              <w:t xml:space="preserve"> </w:t>
                            </w:r>
                            <w:r>
                              <w:rPr>
                                <w:rFonts w:ascii="Arial"/>
                                <w:b/>
                                <w:sz w:val="24"/>
                              </w:rPr>
                              <w:t>ensure this is applied in practice, rather than remaining a box ticking exercise. The Committee recommends that the EU puts in place a clear prohibition of investments in institutions, small-group homes, special schools, and other segregated settings for disabled people, along with strong safeguards to prevent and sanction such investments. The Committee calls on the EU to significantly improve</w:t>
                            </w:r>
                            <w:r>
                              <w:rPr>
                                <w:rFonts w:ascii="Arial"/>
                                <w:b/>
                                <w:spacing w:val="-5"/>
                                <w:sz w:val="24"/>
                              </w:rPr>
                              <w:t xml:space="preserve"> </w:t>
                            </w:r>
                            <w:r>
                              <w:rPr>
                                <w:rFonts w:ascii="Arial"/>
                                <w:b/>
                                <w:sz w:val="24"/>
                              </w:rPr>
                              <w:t>transparency</w:t>
                            </w:r>
                            <w:r>
                              <w:rPr>
                                <w:rFonts w:ascii="Arial"/>
                                <w:b/>
                                <w:spacing w:val="-5"/>
                                <w:sz w:val="24"/>
                              </w:rPr>
                              <w:t xml:space="preserve"> </w:t>
                            </w:r>
                            <w:r>
                              <w:rPr>
                                <w:rFonts w:ascii="Arial"/>
                                <w:b/>
                                <w:sz w:val="24"/>
                              </w:rPr>
                              <w:t>of</w:t>
                            </w:r>
                            <w:r>
                              <w:rPr>
                                <w:rFonts w:ascii="Arial"/>
                                <w:b/>
                                <w:spacing w:val="-6"/>
                                <w:sz w:val="24"/>
                              </w:rPr>
                              <w:t xml:space="preserve"> </w:t>
                            </w:r>
                            <w:r>
                              <w:rPr>
                                <w:rFonts w:ascii="Arial"/>
                                <w:b/>
                                <w:sz w:val="24"/>
                              </w:rPr>
                              <w:t>EU</w:t>
                            </w:r>
                            <w:r>
                              <w:rPr>
                                <w:rFonts w:ascii="Arial"/>
                                <w:b/>
                                <w:spacing w:val="-6"/>
                                <w:sz w:val="24"/>
                              </w:rPr>
                              <w:t xml:space="preserve"> </w:t>
                            </w:r>
                            <w:r>
                              <w:rPr>
                                <w:rFonts w:ascii="Arial"/>
                                <w:b/>
                                <w:sz w:val="24"/>
                              </w:rPr>
                              <w:t>funds,</w:t>
                            </w:r>
                            <w:r>
                              <w:rPr>
                                <w:rFonts w:ascii="Arial"/>
                                <w:b/>
                                <w:spacing w:val="-5"/>
                                <w:sz w:val="24"/>
                              </w:rPr>
                              <w:t xml:space="preserve"> </w:t>
                            </w:r>
                            <w:r>
                              <w:rPr>
                                <w:rFonts w:ascii="Arial"/>
                                <w:b/>
                                <w:sz w:val="24"/>
                              </w:rPr>
                              <w:t>making</w:t>
                            </w:r>
                            <w:r>
                              <w:rPr>
                                <w:rFonts w:ascii="Arial"/>
                                <w:b/>
                                <w:spacing w:val="-5"/>
                                <w:sz w:val="24"/>
                              </w:rPr>
                              <w:t xml:space="preserve"> </w:t>
                            </w:r>
                            <w:r>
                              <w:rPr>
                                <w:rFonts w:ascii="Arial"/>
                                <w:b/>
                                <w:sz w:val="24"/>
                              </w:rPr>
                              <w:t>information</w:t>
                            </w:r>
                            <w:r>
                              <w:rPr>
                                <w:rFonts w:ascii="Arial"/>
                                <w:b/>
                                <w:spacing w:val="-6"/>
                                <w:sz w:val="24"/>
                              </w:rPr>
                              <w:t xml:space="preserve"> </w:t>
                            </w:r>
                            <w:r>
                              <w:rPr>
                                <w:rFonts w:ascii="Arial"/>
                                <w:b/>
                                <w:sz w:val="24"/>
                              </w:rPr>
                              <w:t>about</w:t>
                            </w:r>
                            <w:r>
                              <w:rPr>
                                <w:rFonts w:ascii="Arial"/>
                                <w:b/>
                                <w:spacing w:val="-5"/>
                                <w:sz w:val="24"/>
                              </w:rPr>
                              <w:t xml:space="preserve"> </w:t>
                            </w:r>
                            <w:r>
                              <w:rPr>
                                <w:rFonts w:ascii="Arial"/>
                                <w:b/>
                                <w:sz w:val="24"/>
                              </w:rPr>
                              <w:t>projects</w:t>
                            </w:r>
                            <w:r>
                              <w:rPr>
                                <w:rFonts w:ascii="Arial"/>
                                <w:b/>
                                <w:spacing w:val="-5"/>
                                <w:sz w:val="24"/>
                              </w:rPr>
                              <w:t xml:space="preserve"> </w:t>
                            </w:r>
                            <w:r>
                              <w:rPr>
                                <w:rFonts w:ascii="Arial"/>
                                <w:b/>
                                <w:sz w:val="24"/>
                              </w:rPr>
                              <w:t>available</w:t>
                            </w:r>
                            <w:r>
                              <w:rPr>
                                <w:rFonts w:ascii="Arial"/>
                                <w:b/>
                                <w:spacing w:val="-4"/>
                                <w:sz w:val="24"/>
                              </w:rPr>
                              <w:t xml:space="preserve"> </w:t>
                            </w:r>
                            <w:r>
                              <w:rPr>
                                <w:rFonts w:ascii="Arial"/>
                                <w:b/>
                                <w:sz w:val="24"/>
                              </w:rPr>
                              <w:t>to the public before they are completed - thus allowing for prevention of poor investments - and that it ensures its complaints mechanism is fit for purpose.</w:t>
                            </w:r>
                          </w:p>
                        </w:txbxContent>
                      </wps:txbx>
                      <wps:bodyPr wrap="square" lIns="0" tIns="0" rIns="0" bIns="0" rtlCol="0">
                        <a:noAutofit/>
                      </wps:bodyPr>
                    </wps:wsp>
                  </a:graphicData>
                </a:graphic>
              </wp:anchor>
            </w:drawing>
          </mc:Choice>
          <mc:Fallback>
            <w:pict>
              <v:shape w14:anchorId="0B9B92C0" id="Textbox 31" o:spid="_x0000_s1047" type="#_x0000_t202" style="position:absolute;margin-left:66.4pt;margin-top:8.35pt;width:479.4pt;height:176.9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" filled="f" strokeweight=".16931mm">
                <v:path arrowok="t"/>
                <v:textbox inset="0,0,0,0">
                  <w:txbxContent>
                    <w:p w14:paraId="34F9F91B" w14:textId="77777777" w:rsidR="00161C10" w:rsidRDefault="00CE2C8C">
                      <w:pPr>
                        <w:spacing w:before="19" w:line="276" w:lineRule="auto"/>
                        <w:ind w:left="108" w:right="103"/>
                        <w:jc w:val="both"/>
                        <w:rPr>
                          <w:rFonts w:ascii="Arial"/>
                          <w:b/>
                          <w:sz w:val="24"/>
                        </w:rPr>
                      </w:pPr>
                      <w:r>
                        <w:rPr>
                          <w:rFonts w:ascii="Arial"/>
                          <w:b/>
                          <w:sz w:val="24"/>
                        </w:rPr>
                        <w:t>The Committee asks the EU to ensure that the enabling condition on the compliance</w:t>
                      </w:r>
                      <w:r>
                        <w:rPr>
                          <w:rFonts w:ascii="Arial"/>
                          <w:b/>
                          <w:spacing w:val="-3"/>
                          <w:sz w:val="24"/>
                        </w:rPr>
                        <w:t xml:space="preserve"> </w:t>
                      </w:r>
                      <w:r>
                        <w:rPr>
                          <w:rFonts w:ascii="Arial"/>
                          <w:b/>
                          <w:sz w:val="24"/>
                        </w:rPr>
                        <w:t>with</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UNCRPD</w:t>
                      </w:r>
                      <w:r>
                        <w:rPr>
                          <w:rFonts w:ascii="Arial"/>
                          <w:b/>
                          <w:spacing w:val="-3"/>
                          <w:sz w:val="24"/>
                        </w:rPr>
                        <w:t xml:space="preserve"> </w:t>
                      </w:r>
                      <w:r>
                        <w:rPr>
                          <w:rFonts w:ascii="Arial"/>
                          <w:b/>
                          <w:sz w:val="24"/>
                        </w:rPr>
                        <w:t>and</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EU Charter</w:t>
                      </w:r>
                      <w:r>
                        <w:rPr>
                          <w:rFonts w:ascii="Arial"/>
                          <w:b/>
                          <w:spacing w:val="-3"/>
                          <w:sz w:val="24"/>
                        </w:rPr>
                        <w:t xml:space="preserve"> </w:t>
                      </w:r>
                      <w:r>
                        <w:rPr>
                          <w:rFonts w:ascii="Arial"/>
                          <w:b/>
                          <w:sz w:val="24"/>
                        </w:rPr>
                        <w:t>on</w:t>
                      </w:r>
                      <w:r>
                        <w:rPr>
                          <w:rFonts w:ascii="Arial"/>
                          <w:b/>
                          <w:spacing w:val="-3"/>
                          <w:sz w:val="24"/>
                        </w:rPr>
                        <w:t xml:space="preserve"> </w:t>
                      </w:r>
                      <w:r>
                        <w:rPr>
                          <w:rFonts w:ascii="Arial"/>
                          <w:b/>
                          <w:sz w:val="24"/>
                        </w:rPr>
                        <w:t>Fundamental</w:t>
                      </w:r>
                      <w:r>
                        <w:rPr>
                          <w:rFonts w:ascii="Arial"/>
                          <w:b/>
                          <w:spacing w:val="-3"/>
                          <w:sz w:val="24"/>
                        </w:rPr>
                        <w:t xml:space="preserve"> </w:t>
                      </w:r>
                      <w:r>
                        <w:rPr>
                          <w:rFonts w:ascii="Arial"/>
                          <w:b/>
                          <w:sz w:val="24"/>
                        </w:rPr>
                        <w:t>Rights</w:t>
                      </w:r>
                      <w:r>
                        <w:rPr>
                          <w:rFonts w:ascii="Arial"/>
                          <w:b/>
                          <w:spacing w:val="-3"/>
                          <w:sz w:val="24"/>
                        </w:rPr>
                        <w:t xml:space="preserve"> </w:t>
                      </w:r>
                      <w:r>
                        <w:rPr>
                          <w:rFonts w:ascii="Arial"/>
                          <w:b/>
                          <w:sz w:val="24"/>
                        </w:rPr>
                        <w:t>remains in</w:t>
                      </w:r>
                      <w:r>
                        <w:rPr>
                          <w:rFonts w:ascii="Arial"/>
                          <w:b/>
                          <w:spacing w:val="-17"/>
                          <w:sz w:val="24"/>
                        </w:rPr>
                        <w:t xml:space="preserve"> </w:t>
                      </w:r>
                      <w:r>
                        <w:rPr>
                          <w:rFonts w:ascii="Arial"/>
                          <w:b/>
                          <w:sz w:val="24"/>
                        </w:rPr>
                        <w:t>the</w:t>
                      </w:r>
                      <w:r>
                        <w:rPr>
                          <w:rFonts w:ascii="Arial"/>
                          <w:b/>
                          <w:spacing w:val="-17"/>
                          <w:sz w:val="24"/>
                        </w:rPr>
                        <w:t xml:space="preserve"> </w:t>
                      </w:r>
                      <w:r>
                        <w:rPr>
                          <w:rFonts w:ascii="Arial"/>
                          <w:b/>
                          <w:sz w:val="24"/>
                        </w:rPr>
                        <w:t>next</w:t>
                      </w:r>
                      <w:r>
                        <w:rPr>
                          <w:rFonts w:ascii="Arial"/>
                          <w:b/>
                          <w:spacing w:val="-16"/>
                          <w:sz w:val="24"/>
                        </w:rPr>
                        <w:t xml:space="preserve"> </w:t>
                      </w:r>
                      <w:r>
                        <w:rPr>
                          <w:rFonts w:ascii="Arial"/>
                          <w:b/>
                          <w:sz w:val="24"/>
                        </w:rPr>
                        <w:t>budgetary</w:t>
                      </w:r>
                      <w:r>
                        <w:rPr>
                          <w:rFonts w:ascii="Arial"/>
                          <w:b/>
                          <w:spacing w:val="-17"/>
                          <w:sz w:val="24"/>
                        </w:rPr>
                        <w:t xml:space="preserve"> </w:t>
                      </w:r>
                      <w:r>
                        <w:rPr>
                          <w:rFonts w:ascii="Arial"/>
                          <w:b/>
                          <w:sz w:val="24"/>
                        </w:rPr>
                        <w:t>period,</w:t>
                      </w:r>
                      <w:r>
                        <w:rPr>
                          <w:rFonts w:ascii="Arial"/>
                          <w:b/>
                          <w:spacing w:val="-17"/>
                          <w:sz w:val="24"/>
                        </w:rPr>
                        <w:t xml:space="preserve"> </w:t>
                      </w:r>
                      <w:r>
                        <w:rPr>
                          <w:rFonts w:ascii="Arial"/>
                          <w:b/>
                          <w:sz w:val="24"/>
                        </w:rPr>
                        <w:t>but</w:t>
                      </w:r>
                      <w:r>
                        <w:rPr>
                          <w:rFonts w:ascii="Arial"/>
                          <w:b/>
                          <w:spacing w:val="-17"/>
                          <w:sz w:val="24"/>
                        </w:rPr>
                        <w:t xml:space="preserve"> </w:t>
                      </w:r>
                      <w:r>
                        <w:rPr>
                          <w:rFonts w:ascii="Arial"/>
                          <w:b/>
                          <w:sz w:val="24"/>
                        </w:rPr>
                        <w:t>that</w:t>
                      </w:r>
                      <w:r>
                        <w:rPr>
                          <w:rFonts w:ascii="Arial"/>
                          <w:b/>
                          <w:spacing w:val="-16"/>
                          <w:sz w:val="24"/>
                        </w:rPr>
                        <w:t xml:space="preserve"> </w:t>
                      </w:r>
                      <w:r>
                        <w:rPr>
                          <w:rFonts w:ascii="Arial"/>
                          <w:b/>
                          <w:sz w:val="24"/>
                        </w:rPr>
                        <w:t>adequate</w:t>
                      </w:r>
                      <w:r>
                        <w:rPr>
                          <w:rFonts w:ascii="Arial"/>
                          <w:b/>
                          <w:spacing w:val="-17"/>
                          <w:sz w:val="24"/>
                        </w:rPr>
                        <w:t xml:space="preserve"> </w:t>
                      </w:r>
                      <w:r>
                        <w:rPr>
                          <w:rFonts w:ascii="Arial"/>
                          <w:b/>
                          <w:sz w:val="24"/>
                        </w:rPr>
                        <w:t>processes</w:t>
                      </w:r>
                      <w:r>
                        <w:rPr>
                          <w:rFonts w:ascii="Arial"/>
                          <w:b/>
                          <w:spacing w:val="-17"/>
                          <w:sz w:val="24"/>
                        </w:rPr>
                        <w:t xml:space="preserve"> </w:t>
                      </w:r>
                      <w:r>
                        <w:rPr>
                          <w:rFonts w:ascii="Arial"/>
                          <w:b/>
                          <w:sz w:val="24"/>
                        </w:rPr>
                        <w:t>are</w:t>
                      </w:r>
                      <w:r>
                        <w:rPr>
                          <w:rFonts w:ascii="Arial"/>
                          <w:b/>
                          <w:spacing w:val="-16"/>
                          <w:sz w:val="24"/>
                        </w:rPr>
                        <w:t xml:space="preserve"> </w:t>
                      </w:r>
                      <w:r>
                        <w:rPr>
                          <w:rFonts w:ascii="Arial"/>
                          <w:b/>
                          <w:sz w:val="24"/>
                        </w:rPr>
                        <w:t>put</w:t>
                      </w:r>
                      <w:r>
                        <w:rPr>
                          <w:rFonts w:ascii="Arial"/>
                          <w:b/>
                          <w:spacing w:val="-17"/>
                          <w:sz w:val="24"/>
                        </w:rPr>
                        <w:t xml:space="preserve"> </w:t>
                      </w:r>
                      <w:r>
                        <w:rPr>
                          <w:rFonts w:ascii="Arial"/>
                          <w:b/>
                          <w:sz w:val="24"/>
                        </w:rPr>
                        <w:t>in</w:t>
                      </w:r>
                      <w:r>
                        <w:rPr>
                          <w:rFonts w:ascii="Arial"/>
                          <w:b/>
                          <w:spacing w:val="-17"/>
                          <w:sz w:val="24"/>
                        </w:rPr>
                        <w:t xml:space="preserve"> </w:t>
                      </w:r>
                      <w:r>
                        <w:rPr>
                          <w:rFonts w:ascii="Arial"/>
                          <w:b/>
                          <w:sz w:val="24"/>
                        </w:rPr>
                        <w:t>place</w:t>
                      </w:r>
                      <w:r>
                        <w:rPr>
                          <w:rFonts w:ascii="Arial"/>
                          <w:b/>
                          <w:spacing w:val="-16"/>
                          <w:sz w:val="24"/>
                        </w:rPr>
                        <w:t xml:space="preserve"> </w:t>
                      </w:r>
                      <w:r>
                        <w:rPr>
                          <w:rFonts w:ascii="Arial"/>
                          <w:b/>
                          <w:sz w:val="24"/>
                        </w:rPr>
                        <w:t>to</w:t>
                      </w:r>
                      <w:r>
                        <w:rPr>
                          <w:rFonts w:ascii="Arial"/>
                          <w:b/>
                          <w:spacing w:val="-17"/>
                          <w:sz w:val="24"/>
                        </w:rPr>
                        <w:t xml:space="preserve"> </w:t>
                      </w:r>
                      <w:r>
                        <w:rPr>
                          <w:rFonts w:ascii="Arial"/>
                          <w:b/>
                          <w:sz w:val="24"/>
                        </w:rPr>
                        <w:t>ensure this is applied in practice, rather than remaining a box ticking exercise. The Committee recommends that the EU puts in place a clear prohibition of investments in institutions, small-group homes, special schools, and other segregated settings for disabled people, along with strong safeguards to prevent and sanction such investments. The Committee calls on the EU to significantly improve</w:t>
                      </w:r>
                      <w:r>
                        <w:rPr>
                          <w:rFonts w:ascii="Arial"/>
                          <w:b/>
                          <w:spacing w:val="-5"/>
                          <w:sz w:val="24"/>
                        </w:rPr>
                        <w:t xml:space="preserve"> </w:t>
                      </w:r>
                      <w:r>
                        <w:rPr>
                          <w:rFonts w:ascii="Arial"/>
                          <w:b/>
                          <w:sz w:val="24"/>
                        </w:rPr>
                        <w:t>transparency</w:t>
                      </w:r>
                      <w:r>
                        <w:rPr>
                          <w:rFonts w:ascii="Arial"/>
                          <w:b/>
                          <w:spacing w:val="-5"/>
                          <w:sz w:val="24"/>
                        </w:rPr>
                        <w:t xml:space="preserve"> </w:t>
                      </w:r>
                      <w:r>
                        <w:rPr>
                          <w:rFonts w:ascii="Arial"/>
                          <w:b/>
                          <w:sz w:val="24"/>
                        </w:rPr>
                        <w:t>of</w:t>
                      </w:r>
                      <w:r>
                        <w:rPr>
                          <w:rFonts w:ascii="Arial"/>
                          <w:b/>
                          <w:spacing w:val="-6"/>
                          <w:sz w:val="24"/>
                        </w:rPr>
                        <w:t xml:space="preserve"> </w:t>
                      </w:r>
                      <w:r>
                        <w:rPr>
                          <w:rFonts w:ascii="Arial"/>
                          <w:b/>
                          <w:sz w:val="24"/>
                        </w:rPr>
                        <w:t>EU</w:t>
                      </w:r>
                      <w:r>
                        <w:rPr>
                          <w:rFonts w:ascii="Arial"/>
                          <w:b/>
                          <w:spacing w:val="-6"/>
                          <w:sz w:val="24"/>
                        </w:rPr>
                        <w:t xml:space="preserve"> </w:t>
                      </w:r>
                      <w:r>
                        <w:rPr>
                          <w:rFonts w:ascii="Arial"/>
                          <w:b/>
                          <w:sz w:val="24"/>
                        </w:rPr>
                        <w:t>funds,</w:t>
                      </w:r>
                      <w:r>
                        <w:rPr>
                          <w:rFonts w:ascii="Arial"/>
                          <w:b/>
                          <w:spacing w:val="-5"/>
                          <w:sz w:val="24"/>
                        </w:rPr>
                        <w:t xml:space="preserve"> </w:t>
                      </w:r>
                      <w:r>
                        <w:rPr>
                          <w:rFonts w:ascii="Arial"/>
                          <w:b/>
                          <w:sz w:val="24"/>
                        </w:rPr>
                        <w:t>making</w:t>
                      </w:r>
                      <w:r>
                        <w:rPr>
                          <w:rFonts w:ascii="Arial"/>
                          <w:b/>
                          <w:spacing w:val="-5"/>
                          <w:sz w:val="24"/>
                        </w:rPr>
                        <w:t xml:space="preserve"> </w:t>
                      </w:r>
                      <w:r>
                        <w:rPr>
                          <w:rFonts w:ascii="Arial"/>
                          <w:b/>
                          <w:sz w:val="24"/>
                        </w:rPr>
                        <w:t>information</w:t>
                      </w:r>
                      <w:r>
                        <w:rPr>
                          <w:rFonts w:ascii="Arial"/>
                          <w:b/>
                          <w:spacing w:val="-6"/>
                          <w:sz w:val="24"/>
                        </w:rPr>
                        <w:t xml:space="preserve"> </w:t>
                      </w:r>
                      <w:r>
                        <w:rPr>
                          <w:rFonts w:ascii="Arial"/>
                          <w:b/>
                          <w:sz w:val="24"/>
                        </w:rPr>
                        <w:t>about</w:t>
                      </w:r>
                      <w:r>
                        <w:rPr>
                          <w:rFonts w:ascii="Arial"/>
                          <w:b/>
                          <w:spacing w:val="-5"/>
                          <w:sz w:val="24"/>
                        </w:rPr>
                        <w:t xml:space="preserve"> </w:t>
                      </w:r>
                      <w:r>
                        <w:rPr>
                          <w:rFonts w:ascii="Arial"/>
                          <w:b/>
                          <w:sz w:val="24"/>
                        </w:rPr>
                        <w:t>projects</w:t>
                      </w:r>
                      <w:r>
                        <w:rPr>
                          <w:rFonts w:ascii="Arial"/>
                          <w:b/>
                          <w:spacing w:val="-5"/>
                          <w:sz w:val="24"/>
                        </w:rPr>
                        <w:t xml:space="preserve"> </w:t>
                      </w:r>
                      <w:r>
                        <w:rPr>
                          <w:rFonts w:ascii="Arial"/>
                          <w:b/>
                          <w:sz w:val="24"/>
                        </w:rPr>
                        <w:t>available</w:t>
                      </w:r>
                      <w:r>
                        <w:rPr>
                          <w:rFonts w:ascii="Arial"/>
                          <w:b/>
                          <w:spacing w:val="-4"/>
                          <w:sz w:val="24"/>
                        </w:rPr>
                        <w:t xml:space="preserve"> </w:t>
                      </w:r>
                      <w:r>
                        <w:rPr>
                          <w:rFonts w:ascii="Arial"/>
                          <w:b/>
                          <w:sz w:val="24"/>
                        </w:rPr>
                        <w:t>to the public before they are completed - th</w:t>
                      </w:r>
                      <w:r>
                        <w:rPr>
                          <w:rFonts w:ascii="Arial"/>
                          <w:b/>
                          <w:sz w:val="24"/>
                        </w:rPr>
                        <w:t>us allowing for prevention of poor investments - and that it ensures its complaints mechanism is fit for purpose.</w:t>
                      </w:r>
                    </w:p>
                  </w:txbxContent>
                </v:textbox>
                <w10:wrap type="topAndBottom" anchorx="page"/>
              </v:shape>
            </w:pict>
          </mc:Fallback>
        </mc:AlternateContent>
      </w:r>
    </w:p>
    <w:p w14:paraId="488FCF44" w14:textId="77777777" w:rsidR="00161C10" w:rsidRDefault="00CE2C8C">
      <w:pPr>
        <w:pStyle w:val="Heading4"/>
        <w:numPr>
          <w:ilvl w:val="3"/>
          <w:numId w:val="8"/>
        </w:numPr>
        <w:tabs>
          <w:tab w:val="left" w:pos="1073"/>
        </w:tabs>
        <w:spacing w:before="248"/>
        <w:ind w:hanging="355"/>
        <w:jc w:val="left"/>
      </w:pPr>
      <w:r>
        <w:t>Reply</w:t>
      </w:r>
      <w:r>
        <w:rPr>
          <w:spacing w:val="-2"/>
        </w:rPr>
        <w:t xml:space="preserve"> </w:t>
      </w:r>
      <w:r>
        <w:t>to</w:t>
      </w:r>
      <w:r>
        <w:rPr>
          <w:spacing w:val="-2"/>
        </w:rPr>
        <w:t xml:space="preserve"> </w:t>
      </w:r>
      <w:r>
        <w:t>the</w:t>
      </w:r>
      <w:r>
        <w:rPr>
          <w:spacing w:val="-2"/>
        </w:rPr>
        <w:t xml:space="preserve"> </w:t>
      </w:r>
      <w:r>
        <w:t>issues</w:t>
      </w:r>
      <w:r>
        <w:rPr>
          <w:spacing w:val="-1"/>
        </w:rPr>
        <w:t xml:space="preserve"> </w:t>
      </w:r>
      <w:r>
        <w:t>raised</w:t>
      </w:r>
      <w:r>
        <w:rPr>
          <w:spacing w:val="-5"/>
        </w:rPr>
        <w:t xml:space="preserve"> </w:t>
      </w:r>
      <w:r>
        <w:t>in</w:t>
      </w:r>
      <w:r>
        <w:rPr>
          <w:spacing w:val="-2"/>
        </w:rPr>
        <w:t xml:space="preserve"> </w:t>
      </w:r>
      <w:r>
        <w:t>paragraph</w:t>
      </w:r>
      <w:r>
        <w:rPr>
          <w:spacing w:val="-2"/>
        </w:rPr>
        <w:t xml:space="preserve"> </w:t>
      </w:r>
      <w:r>
        <w:t>21c</w:t>
      </w:r>
      <w:r>
        <w:rPr>
          <w:spacing w:val="-1"/>
        </w:rPr>
        <w:t xml:space="preserve"> </w:t>
      </w:r>
      <w:r>
        <w:t>of</w:t>
      </w:r>
      <w:r>
        <w:rPr>
          <w:spacing w:val="-2"/>
        </w:rPr>
        <w:t xml:space="preserve"> </w:t>
      </w:r>
      <w:r>
        <w:t>the</w:t>
      </w:r>
      <w:r>
        <w:rPr>
          <w:spacing w:val="-2"/>
        </w:rPr>
        <w:t xml:space="preserve"> </w:t>
      </w:r>
      <w:r>
        <w:t>list</w:t>
      </w:r>
      <w:r>
        <w:rPr>
          <w:spacing w:val="-1"/>
        </w:rPr>
        <w:t xml:space="preserve"> </w:t>
      </w:r>
      <w:r>
        <w:t>of</w:t>
      </w:r>
      <w:r>
        <w:rPr>
          <w:spacing w:val="-4"/>
        </w:rPr>
        <w:t xml:space="preserve"> </w:t>
      </w:r>
      <w:r>
        <w:rPr>
          <w:spacing w:val="-2"/>
        </w:rPr>
        <w:t>issues</w:t>
      </w:r>
    </w:p>
    <w:p w14:paraId="500F3CB8" w14:textId="77777777" w:rsidR="00161C10" w:rsidRDefault="00CE2C8C">
      <w:pPr>
        <w:spacing w:before="159" w:line="276" w:lineRule="auto"/>
        <w:ind w:left="360" w:right="365"/>
        <w:jc w:val="both"/>
        <w:rPr>
          <w:rFonts w:ascii="Arial" w:hAnsi="Arial"/>
          <w:i/>
          <w:sz w:val="24"/>
        </w:rPr>
      </w:pPr>
      <w:r>
        <w:rPr>
          <w:rFonts w:ascii="Arial" w:hAnsi="Arial"/>
          <w:i/>
          <w:sz w:val="24"/>
        </w:rPr>
        <w:t>The European Union states that “the Legal Service does not revise its notes, which are delivered upon request from the Commission services.”</w:t>
      </w:r>
    </w:p>
    <w:p w14:paraId="73993096" w14:textId="77777777" w:rsidR="00161C10" w:rsidRDefault="00CE2C8C">
      <w:pPr>
        <w:pStyle w:val="BodyText"/>
        <w:spacing w:before="119" w:line="276" w:lineRule="auto"/>
        <w:ind w:left="360" w:right="360"/>
        <w:jc w:val="both"/>
      </w:pPr>
      <w:r>
        <w:t>Having</w:t>
      </w:r>
      <w:r>
        <w:rPr>
          <w:spacing w:val="-14"/>
        </w:rPr>
        <w:t xml:space="preserve"> </w:t>
      </w:r>
      <w:r>
        <w:t>submitted</w:t>
      </w:r>
      <w:r>
        <w:rPr>
          <w:spacing w:val="-16"/>
        </w:rPr>
        <w:t xml:space="preserve"> </w:t>
      </w:r>
      <w:r>
        <w:t>a</w:t>
      </w:r>
      <w:r>
        <w:rPr>
          <w:spacing w:val="-12"/>
        </w:rPr>
        <w:t xml:space="preserve"> </w:t>
      </w:r>
      <w:hyperlink r:id="rId82">
        <w:r>
          <w:rPr>
            <w:color w:val="1154CC"/>
            <w:u w:val="single" w:color="1154CC"/>
          </w:rPr>
          <w:t>complaint</w:t>
        </w:r>
        <w:r>
          <w:rPr>
            <w:color w:val="1154CC"/>
            <w:spacing w:val="-14"/>
            <w:u w:val="single" w:color="1154CC"/>
          </w:rPr>
          <w:t xml:space="preserve"> </w:t>
        </w:r>
        <w:r>
          <w:rPr>
            <w:color w:val="1154CC"/>
            <w:u w:val="single" w:color="1154CC"/>
          </w:rPr>
          <w:t>to</w:t>
        </w:r>
        <w:r>
          <w:rPr>
            <w:color w:val="1154CC"/>
            <w:spacing w:val="-16"/>
            <w:u w:val="single" w:color="1154CC"/>
          </w:rPr>
          <w:t xml:space="preserve"> </w:t>
        </w:r>
        <w:r>
          <w:rPr>
            <w:color w:val="1154CC"/>
            <w:u w:val="single" w:color="1154CC"/>
          </w:rPr>
          <w:t>the</w:t>
        </w:r>
        <w:r>
          <w:rPr>
            <w:color w:val="1154CC"/>
            <w:spacing w:val="-16"/>
            <w:u w:val="single" w:color="1154CC"/>
          </w:rPr>
          <w:t xml:space="preserve"> </w:t>
        </w:r>
        <w:r>
          <w:rPr>
            <w:color w:val="1154CC"/>
            <w:u w:val="single" w:color="1154CC"/>
          </w:rPr>
          <w:t>European</w:t>
        </w:r>
        <w:r>
          <w:rPr>
            <w:color w:val="1154CC"/>
            <w:spacing w:val="-14"/>
            <w:u w:val="single" w:color="1154CC"/>
          </w:rPr>
          <w:t xml:space="preserve"> </w:t>
        </w:r>
        <w:r>
          <w:rPr>
            <w:color w:val="1154CC"/>
            <w:u w:val="single" w:color="1154CC"/>
          </w:rPr>
          <w:t>Ombudsman</w:t>
        </w:r>
      </w:hyperlink>
      <w:r>
        <w:rPr>
          <w:color w:val="1154CC"/>
          <w:spacing w:val="-12"/>
        </w:rPr>
        <w:t xml:space="preserve"> </w:t>
      </w:r>
      <w:r>
        <w:t>about</w:t>
      </w:r>
      <w:r>
        <w:rPr>
          <w:spacing w:val="-15"/>
        </w:rPr>
        <w:t xml:space="preserve"> </w:t>
      </w:r>
      <w:r>
        <w:t>the</w:t>
      </w:r>
      <w:r>
        <w:rPr>
          <w:spacing w:val="-15"/>
        </w:rPr>
        <w:t xml:space="preserve"> </w:t>
      </w:r>
      <w:r>
        <w:t>Legal</w:t>
      </w:r>
      <w:r>
        <w:rPr>
          <w:spacing w:val="-16"/>
        </w:rPr>
        <w:t xml:space="preserve"> </w:t>
      </w:r>
      <w:r>
        <w:t>Service</w:t>
      </w:r>
      <w:r>
        <w:rPr>
          <w:spacing w:val="-15"/>
        </w:rPr>
        <w:t xml:space="preserve"> </w:t>
      </w:r>
      <w:r>
        <w:t>note in 2019, we can confirm that it</w:t>
      </w:r>
      <w:r>
        <w:rPr>
          <w:spacing w:val="-1"/>
        </w:rPr>
        <w:t xml:space="preserve"> </w:t>
      </w:r>
      <w:r>
        <w:t>has</w:t>
      </w:r>
      <w:r>
        <w:rPr>
          <w:spacing w:val="-1"/>
        </w:rPr>
        <w:t xml:space="preserve"> </w:t>
      </w:r>
      <w:r>
        <w:t>been impossible to get the Commission to discuss it, let alone revise it.</w:t>
      </w:r>
    </w:p>
    <w:p w14:paraId="56E9F136" w14:textId="77777777" w:rsidR="00161C10" w:rsidRDefault="00161C10">
      <w:pPr>
        <w:pStyle w:val="BodyText"/>
        <w:spacing w:line="276" w:lineRule="auto"/>
        <w:jc w:val="both"/>
        <w:sectPr w:rsidR="00161C10">
          <w:pgSz w:w="12240" w:h="15840"/>
          <w:pgMar w:top="1360" w:right="1080" w:bottom="1540" w:left="1080" w:header="0" w:footer="1274" w:gutter="0"/>
          <w:cols w:space="720"/>
        </w:sectPr>
      </w:pPr>
    </w:p>
    <w:p w14:paraId="67D7953B" w14:textId="77777777" w:rsidR="00161C10" w:rsidRDefault="00CE2C8C">
      <w:pPr>
        <w:spacing w:before="81" w:line="276" w:lineRule="auto"/>
        <w:ind w:left="360" w:right="354"/>
        <w:jc w:val="both"/>
        <w:rPr>
          <w:sz w:val="24"/>
        </w:rPr>
      </w:pPr>
      <w:r>
        <w:rPr>
          <w:sz w:val="24"/>
        </w:rPr>
        <w:lastRenderedPageBreak/>
        <w:t>The Committee should be aware of another internal document, from January 2022, by DG EMPL, DG REGIO and the Cabinet of Equality Commissioner Dalli</w:t>
      </w:r>
      <w:hyperlink w:anchor="_bookmark8" w:history="1">
        <w:r>
          <w:rPr>
            <w:position w:val="8"/>
            <w:sz w:val="16"/>
          </w:rPr>
          <w:t>9</w:t>
        </w:r>
      </w:hyperlink>
      <w:r>
        <w:rPr>
          <w:sz w:val="24"/>
        </w:rPr>
        <w:t>, entitled “Deinstitutionalisation and financial support from the EU Budget for residential care facilities”. This undated document, which covers the 2021 - 2027 Cohesion framework and</w:t>
      </w:r>
      <w:r>
        <w:rPr>
          <w:spacing w:val="-5"/>
          <w:sz w:val="24"/>
        </w:rPr>
        <w:t xml:space="preserve"> </w:t>
      </w:r>
      <w:r>
        <w:rPr>
          <w:sz w:val="24"/>
        </w:rPr>
        <w:t>REACT-EU</w:t>
      </w:r>
      <w:r>
        <w:rPr>
          <w:spacing w:val="-3"/>
          <w:sz w:val="24"/>
        </w:rPr>
        <w:t xml:space="preserve"> </w:t>
      </w:r>
      <w:r>
        <w:rPr>
          <w:sz w:val="24"/>
        </w:rPr>
        <w:t>funding</w:t>
      </w:r>
      <w:r>
        <w:rPr>
          <w:spacing w:val="-3"/>
          <w:sz w:val="24"/>
        </w:rPr>
        <w:t xml:space="preserve"> </w:t>
      </w:r>
      <w:r>
        <w:rPr>
          <w:sz w:val="24"/>
        </w:rPr>
        <w:t>contains</w:t>
      </w:r>
      <w:r>
        <w:rPr>
          <w:spacing w:val="-5"/>
          <w:sz w:val="24"/>
        </w:rPr>
        <w:t xml:space="preserve"> </w:t>
      </w:r>
      <w:r>
        <w:rPr>
          <w:sz w:val="24"/>
        </w:rPr>
        <w:t>many</w:t>
      </w:r>
      <w:r>
        <w:rPr>
          <w:spacing w:val="-5"/>
          <w:sz w:val="24"/>
        </w:rPr>
        <w:t xml:space="preserve"> </w:t>
      </w:r>
      <w:r>
        <w:rPr>
          <w:sz w:val="24"/>
        </w:rPr>
        <w:t>arguments</w:t>
      </w:r>
      <w:r>
        <w:rPr>
          <w:spacing w:val="-3"/>
          <w:sz w:val="24"/>
        </w:rPr>
        <w:t xml:space="preserve"> </w:t>
      </w:r>
      <w:r>
        <w:rPr>
          <w:sz w:val="24"/>
        </w:rPr>
        <w:t>why</w:t>
      </w:r>
      <w:r>
        <w:rPr>
          <w:spacing w:val="-5"/>
          <w:sz w:val="24"/>
        </w:rPr>
        <w:t xml:space="preserve"> </w:t>
      </w:r>
      <w:r>
        <w:rPr>
          <w:sz w:val="24"/>
        </w:rPr>
        <w:t>the</w:t>
      </w:r>
      <w:r>
        <w:rPr>
          <w:spacing w:val="-3"/>
          <w:sz w:val="24"/>
        </w:rPr>
        <w:t xml:space="preserve"> </w:t>
      </w:r>
      <w:r>
        <w:rPr>
          <w:sz w:val="24"/>
        </w:rPr>
        <w:t>Commission</w:t>
      </w:r>
      <w:r>
        <w:rPr>
          <w:spacing w:val="-2"/>
          <w:sz w:val="24"/>
        </w:rPr>
        <w:t xml:space="preserve"> </w:t>
      </w:r>
      <w:r>
        <w:rPr>
          <w:sz w:val="24"/>
        </w:rPr>
        <w:t>should</w:t>
      </w:r>
      <w:r>
        <w:rPr>
          <w:spacing w:val="-5"/>
          <w:sz w:val="24"/>
        </w:rPr>
        <w:t xml:space="preserve"> </w:t>
      </w:r>
      <w:r>
        <w:rPr>
          <w:sz w:val="24"/>
        </w:rPr>
        <w:t>invest</w:t>
      </w:r>
      <w:r>
        <w:rPr>
          <w:spacing w:val="-5"/>
          <w:sz w:val="24"/>
        </w:rPr>
        <w:t xml:space="preserve"> </w:t>
      </w:r>
      <w:r>
        <w:rPr>
          <w:sz w:val="24"/>
        </w:rPr>
        <w:t>in residential</w:t>
      </w:r>
      <w:r>
        <w:rPr>
          <w:spacing w:val="-5"/>
          <w:sz w:val="24"/>
        </w:rPr>
        <w:t xml:space="preserve"> </w:t>
      </w:r>
      <w:r>
        <w:rPr>
          <w:sz w:val="24"/>
        </w:rPr>
        <w:t>care</w:t>
      </w:r>
      <w:r>
        <w:rPr>
          <w:spacing w:val="-7"/>
          <w:sz w:val="24"/>
        </w:rPr>
        <w:t xml:space="preserve"> </w:t>
      </w:r>
      <w:r>
        <w:rPr>
          <w:sz w:val="24"/>
        </w:rPr>
        <w:t>facilities.</w:t>
      </w:r>
      <w:r>
        <w:rPr>
          <w:spacing w:val="-4"/>
          <w:sz w:val="24"/>
        </w:rPr>
        <w:t xml:space="preserve"> </w:t>
      </w:r>
      <w:r>
        <w:rPr>
          <w:sz w:val="24"/>
        </w:rPr>
        <w:t>Among</w:t>
      </w:r>
      <w:r>
        <w:rPr>
          <w:spacing w:val="-4"/>
          <w:sz w:val="24"/>
        </w:rPr>
        <w:t xml:space="preserve"> </w:t>
      </w:r>
      <w:r>
        <w:rPr>
          <w:sz w:val="24"/>
        </w:rPr>
        <w:t>other,</w:t>
      </w:r>
      <w:r>
        <w:rPr>
          <w:spacing w:val="-5"/>
          <w:sz w:val="24"/>
        </w:rPr>
        <w:t xml:space="preserve"> </w:t>
      </w:r>
      <w:r>
        <w:rPr>
          <w:sz w:val="24"/>
        </w:rPr>
        <w:t>it</w:t>
      </w:r>
      <w:r>
        <w:rPr>
          <w:spacing w:val="-4"/>
          <w:sz w:val="24"/>
        </w:rPr>
        <w:t xml:space="preserve"> </w:t>
      </w:r>
      <w:r>
        <w:rPr>
          <w:sz w:val="24"/>
        </w:rPr>
        <w:t>states</w:t>
      </w:r>
      <w:r>
        <w:rPr>
          <w:spacing w:val="-4"/>
          <w:sz w:val="24"/>
        </w:rPr>
        <w:t xml:space="preserve"> </w:t>
      </w:r>
      <w:r>
        <w:rPr>
          <w:sz w:val="24"/>
        </w:rPr>
        <w:t>that</w:t>
      </w:r>
      <w:r>
        <w:rPr>
          <w:spacing w:val="-4"/>
          <w:sz w:val="24"/>
        </w:rPr>
        <w:t xml:space="preserve"> </w:t>
      </w:r>
      <w:r>
        <w:rPr>
          <w:sz w:val="24"/>
        </w:rPr>
        <w:t>residential</w:t>
      </w:r>
      <w:r>
        <w:rPr>
          <w:spacing w:val="-5"/>
          <w:sz w:val="24"/>
        </w:rPr>
        <w:t xml:space="preserve"> </w:t>
      </w:r>
      <w:r>
        <w:rPr>
          <w:sz w:val="24"/>
        </w:rPr>
        <w:t>care</w:t>
      </w:r>
      <w:r>
        <w:rPr>
          <w:spacing w:val="-7"/>
          <w:sz w:val="24"/>
        </w:rPr>
        <w:t xml:space="preserve"> </w:t>
      </w:r>
      <w:r>
        <w:rPr>
          <w:sz w:val="24"/>
        </w:rPr>
        <w:t>facilities</w:t>
      </w:r>
      <w:r>
        <w:rPr>
          <w:spacing w:val="-4"/>
          <w:sz w:val="24"/>
        </w:rPr>
        <w:t xml:space="preserve"> </w:t>
      </w:r>
      <w:r>
        <w:rPr>
          <w:sz w:val="24"/>
        </w:rPr>
        <w:t>are</w:t>
      </w:r>
      <w:r>
        <w:rPr>
          <w:spacing w:val="-4"/>
          <w:sz w:val="24"/>
        </w:rPr>
        <w:t xml:space="preserve"> </w:t>
      </w:r>
      <w:r>
        <w:rPr>
          <w:sz w:val="24"/>
        </w:rPr>
        <w:t>needed for persons with support needs “</w:t>
      </w:r>
      <w:r>
        <w:rPr>
          <w:rFonts w:ascii="Arial" w:hAnsi="Arial"/>
          <w:i/>
          <w:sz w:val="24"/>
        </w:rPr>
        <w:t>who choose such setting (e.g. who have disabilities or pathologies</w:t>
      </w:r>
      <w:r>
        <w:rPr>
          <w:rFonts w:ascii="Arial" w:hAnsi="Arial"/>
          <w:i/>
          <w:spacing w:val="-12"/>
          <w:sz w:val="24"/>
        </w:rPr>
        <w:t xml:space="preserve"> </w:t>
      </w:r>
      <w:r>
        <w:rPr>
          <w:rFonts w:ascii="Arial" w:hAnsi="Arial"/>
          <w:i/>
          <w:sz w:val="24"/>
        </w:rPr>
        <w:t>that</w:t>
      </w:r>
      <w:r>
        <w:rPr>
          <w:rFonts w:ascii="Arial" w:hAnsi="Arial"/>
          <w:i/>
          <w:spacing w:val="-11"/>
          <w:sz w:val="24"/>
        </w:rPr>
        <w:t xml:space="preserve"> </w:t>
      </w:r>
      <w:r>
        <w:rPr>
          <w:rFonts w:ascii="Arial" w:hAnsi="Arial"/>
          <w:i/>
          <w:sz w:val="24"/>
        </w:rPr>
        <w:t>make</w:t>
      </w:r>
      <w:r>
        <w:rPr>
          <w:rFonts w:ascii="Arial" w:hAnsi="Arial"/>
          <w:i/>
          <w:spacing w:val="-10"/>
          <w:sz w:val="24"/>
        </w:rPr>
        <w:t xml:space="preserve"> </w:t>
      </w:r>
      <w:r>
        <w:rPr>
          <w:rFonts w:ascii="Arial" w:hAnsi="Arial"/>
          <w:i/>
          <w:sz w:val="24"/>
        </w:rPr>
        <w:t>independent</w:t>
      </w:r>
      <w:r>
        <w:rPr>
          <w:rFonts w:ascii="Arial" w:hAnsi="Arial"/>
          <w:i/>
          <w:spacing w:val="-11"/>
          <w:sz w:val="24"/>
        </w:rPr>
        <w:t xml:space="preserve"> </w:t>
      </w:r>
      <w:r>
        <w:rPr>
          <w:rFonts w:ascii="Arial" w:hAnsi="Arial"/>
          <w:i/>
          <w:sz w:val="24"/>
        </w:rPr>
        <w:t>living</w:t>
      </w:r>
      <w:r>
        <w:rPr>
          <w:rFonts w:ascii="Arial" w:hAnsi="Arial"/>
          <w:i/>
          <w:spacing w:val="-10"/>
          <w:sz w:val="24"/>
        </w:rPr>
        <w:t xml:space="preserve"> </w:t>
      </w:r>
      <w:r>
        <w:rPr>
          <w:rFonts w:ascii="Arial" w:hAnsi="Arial"/>
          <w:i/>
          <w:sz w:val="24"/>
        </w:rPr>
        <w:t>very</w:t>
      </w:r>
      <w:r>
        <w:rPr>
          <w:rFonts w:ascii="Arial" w:hAnsi="Arial"/>
          <w:i/>
          <w:spacing w:val="-13"/>
          <w:sz w:val="24"/>
        </w:rPr>
        <w:t xml:space="preserve"> </w:t>
      </w:r>
      <w:r>
        <w:rPr>
          <w:rFonts w:ascii="Arial" w:hAnsi="Arial"/>
          <w:i/>
          <w:sz w:val="24"/>
        </w:rPr>
        <w:t>complicated,</w:t>
      </w:r>
      <w:r>
        <w:rPr>
          <w:rFonts w:ascii="Arial" w:hAnsi="Arial"/>
          <w:i/>
          <w:spacing w:val="-11"/>
          <w:sz w:val="24"/>
        </w:rPr>
        <w:t xml:space="preserve"> </w:t>
      </w:r>
      <w:r>
        <w:rPr>
          <w:rFonts w:ascii="Arial" w:hAnsi="Arial"/>
          <w:i/>
          <w:sz w:val="24"/>
        </w:rPr>
        <w:t>dangerous</w:t>
      </w:r>
      <w:r>
        <w:rPr>
          <w:rFonts w:ascii="Arial" w:hAnsi="Arial"/>
          <w:i/>
          <w:spacing w:val="-11"/>
          <w:sz w:val="24"/>
        </w:rPr>
        <w:t xml:space="preserve"> </w:t>
      </w:r>
      <w:r>
        <w:rPr>
          <w:rFonts w:ascii="Arial" w:hAnsi="Arial"/>
          <w:i/>
          <w:sz w:val="24"/>
        </w:rPr>
        <w:t>or</w:t>
      </w:r>
      <w:r>
        <w:rPr>
          <w:rFonts w:ascii="Arial" w:hAnsi="Arial"/>
          <w:i/>
          <w:spacing w:val="-12"/>
          <w:sz w:val="24"/>
        </w:rPr>
        <w:t xml:space="preserve"> </w:t>
      </w:r>
      <w:r>
        <w:rPr>
          <w:rFonts w:ascii="Arial" w:hAnsi="Arial"/>
          <w:i/>
          <w:sz w:val="24"/>
        </w:rPr>
        <w:t>impossible</w:t>
      </w:r>
      <w:r>
        <w:rPr>
          <w:rFonts w:ascii="Arial" w:hAnsi="Arial"/>
          <w:i/>
          <w:spacing w:val="-12"/>
          <w:sz w:val="24"/>
        </w:rPr>
        <w:t xml:space="preserve"> </w:t>
      </w:r>
      <w:r>
        <w:rPr>
          <w:rFonts w:ascii="Arial" w:hAnsi="Arial"/>
          <w:i/>
          <w:sz w:val="24"/>
        </w:rPr>
        <w:t>and who</w:t>
      </w:r>
      <w:r>
        <w:rPr>
          <w:rFonts w:ascii="Arial" w:hAnsi="Arial"/>
          <w:i/>
          <w:spacing w:val="-14"/>
          <w:sz w:val="24"/>
        </w:rPr>
        <w:t xml:space="preserve"> </w:t>
      </w:r>
      <w:r>
        <w:rPr>
          <w:rFonts w:ascii="Arial" w:hAnsi="Arial"/>
          <w:i/>
          <w:sz w:val="24"/>
        </w:rPr>
        <w:t>do</w:t>
      </w:r>
      <w:r>
        <w:rPr>
          <w:rFonts w:ascii="Arial" w:hAnsi="Arial"/>
          <w:i/>
          <w:spacing w:val="-16"/>
          <w:sz w:val="24"/>
        </w:rPr>
        <w:t xml:space="preserve"> </w:t>
      </w:r>
      <w:r>
        <w:rPr>
          <w:rFonts w:ascii="Arial" w:hAnsi="Arial"/>
          <w:i/>
          <w:sz w:val="24"/>
        </w:rPr>
        <w:t>not</w:t>
      </w:r>
      <w:r>
        <w:rPr>
          <w:rFonts w:ascii="Arial" w:hAnsi="Arial"/>
          <w:i/>
          <w:spacing w:val="-14"/>
          <w:sz w:val="24"/>
        </w:rPr>
        <w:t xml:space="preserve"> </w:t>
      </w:r>
      <w:r>
        <w:rPr>
          <w:rFonts w:ascii="Arial" w:hAnsi="Arial"/>
          <w:i/>
          <w:sz w:val="24"/>
        </w:rPr>
        <w:t>feel</w:t>
      </w:r>
      <w:r>
        <w:rPr>
          <w:rFonts w:ascii="Arial" w:hAnsi="Arial"/>
          <w:i/>
          <w:spacing w:val="-15"/>
          <w:sz w:val="24"/>
        </w:rPr>
        <w:t xml:space="preserve"> </w:t>
      </w:r>
      <w:r>
        <w:rPr>
          <w:rFonts w:ascii="Arial" w:hAnsi="Arial"/>
          <w:i/>
          <w:sz w:val="24"/>
        </w:rPr>
        <w:t>safe</w:t>
      </w:r>
      <w:r>
        <w:rPr>
          <w:rFonts w:ascii="Arial" w:hAnsi="Arial"/>
          <w:i/>
          <w:spacing w:val="-14"/>
          <w:sz w:val="24"/>
        </w:rPr>
        <w:t xml:space="preserve"> </w:t>
      </w:r>
      <w:r>
        <w:rPr>
          <w:rFonts w:ascii="Arial" w:hAnsi="Arial"/>
          <w:i/>
          <w:sz w:val="24"/>
        </w:rPr>
        <w:t>anymore</w:t>
      </w:r>
      <w:r>
        <w:rPr>
          <w:rFonts w:ascii="Arial" w:hAnsi="Arial"/>
          <w:i/>
          <w:spacing w:val="-15"/>
          <w:sz w:val="24"/>
        </w:rPr>
        <w:t xml:space="preserve"> </w:t>
      </w:r>
      <w:r>
        <w:rPr>
          <w:rFonts w:ascii="Arial" w:hAnsi="Arial"/>
          <w:i/>
          <w:sz w:val="24"/>
        </w:rPr>
        <w:t>to</w:t>
      </w:r>
      <w:r>
        <w:rPr>
          <w:rFonts w:ascii="Arial" w:hAnsi="Arial"/>
          <w:i/>
          <w:spacing w:val="-14"/>
          <w:sz w:val="24"/>
        </w:rPr>
        <w:t xml:space="preserve"> </w:t>
      </w:r>
      <w:r>
        <w:rPr>
          <w:rFonts w:ascii="Arial" w:hAnsi="Arial"/>
          <w:i/>
          <w:sz w:val="24"/>
        </w:rPr>
        <w:t>live</w:t>
      </w:r>
      <w:r>
        <w:rPr>
          <w:rFonts w:ascii="Arial" w:hAnsi="Arial"/>
          <w:i/>
          <w:spacing w:val="-17"/>
          <w:sz w:val="24"/>
        </w:rPr>
        <w:t xml:space="preserve"> </w:t>
      </w:r>
      <w:r>
        <w:rPr>
          <w:rFonts w:ascii="Arial" w:hAnsi="Arial"/>
          <w:i/>
          <w:sz w:val="24"/>
        </w:rPr>
        <w:t>alone,</w:t>
      </w:r>
      <w:r>
        <w:rPr>
          <w:rFonts w:ascii="Arial" w:hAnsi="Arial"/>
          <w:i/>
          <w:spacing w:val="-14"/>
          <w:sz w:val="24"/>
        </w:rPr>
        <w:t xml:space="preserve"> </w:t>
      </w:r>
      <w:r>
        <w:rPr>
          <w:rFonts w:ascii="Arial" w:hAnsi="Arial"/>
          <w:i/>
          <w:sz w:val="24"/>
        </w:rPr>
        <w:t>especially</w:t>
      </w:r>
      <w:r>
        <w:rPr>
          <w:rFonts w:ascii="Arial" w:hAnsi="Arial"/>
          <w:i/>
          <w:spacing w:val="-15"/>
          <w:sz w:val="24"/>
        </w:rPr>
        <w:t xml:space="preserve"> </w:t>
      </w:r>
      <w:r>
        <w:rPr>
          <w:rFonts w:ascii="Arial" w:hAnsi="Arial"/>
          <w:i/>
          <w:sz w:val="24"/>
        </w:rPr>
        <w:t>in</w:t>
      </w:r>
      <w:r>
        <w:rPr>
          <w:rFonts w:ascii="Arial" w:hAnsi="Arial"/>
          <w:i/>
          <w:spacing w:val="-15"/>
          <w:sz w:val="24"/>
        </w:rPr>
        <w:t xml:space="preserve"> </w:t>
      </w:r>
      <w:r>
        <w:rPr>
          <w:rFonts w:ascii="Arial" w:hAnsi="Arial"/>
          <w:i/>
          <w:sz w:val="24"/>
        </w:rPr>
        <w:t>cases</w:t>
      </w:r>
      <w:r>
        <w:rPr>
          <w:rFonts w:ascii="Arial" w:hAnsi="Arial"/>
          <w:i/>
          <w:spacing w:val="-15"/>
          <w:sz w:val="24"/>
        </w:rPr>
        <w:t xml:space="preserve"> </w:t>
      </w:r>
      <w:r>
        <w:rPr>
          <w:rFonts w:ascii="Arial" w:hAnsi="Arial"/>
          <w:i/>
          <w:sz w:val="24"/>
        </w:rPr>
        <w:t>where</w:t>
      </w:r>
      <w:r>
        <w:rPr>
          <w:rFonts w:ascii="Arial" w:hAnsi="Arial"/>
          <w:i/>
          <w:spacing w:val="-16"/>
          <w:sz w:val="24"/>
        </w:rPr>
        <w:t xml:space="preserve"> </w:t>
      </w:r>
      <w:r>
        <w:rPr>
          <w:rFonts w:ascii="Arial" w:hAnsi="Arial"/>
          <w:i/>
          <w:sz w:val="24"/>
        </w:rPr>
        <w:t>families</w:t>
      </w:r>
      <w:r>
        <w:rPr>
          <w:rFonts w:ascii="Arial" w:hAnsi="Arial"/>
          <w:i/>
          <w:spacing w:val="-14"/>
          <w:sz w:val="24"/>
        </w:rPr>
        <w:t xml:space="preserve"> </w:t>
      </w:r>
      <w:r>
        <w:rPr>
          <w:rFonts w:ascii="Arial" w:hAnsi="Arial"/>
          <w:i/>
          <w:sz w:val="24"/>
        </w:rPr>
        <w:t>cannot</w:t>
      </w:r>
      <w:r>
        <w:rPr>
          <w:rFonts w:ascii="Arial" w:hAnsi="Arial"/>
          <w:i/>
          <w:spacing w:val="-14"/>
          <w:sz w:val="24"/>
        </w:rPr>
        <w:t xml:space="preserve"> </w:t>
      </w:r>
      <w:r>
        <w:rPr>
          <w:rFonts w:ascii="Arial" w:hAnsi="Arial"/>
          <w:i/>
          <w:sz w:val="24"/>
        </w:rPr>
        <w:t xml:space="preserve">take care of </w:t>
      </w:r>
      <w:proofErr w:type="gramStart"/>
      <w:r>
        <w:rPr>
          <w:rFonts w:ascii="Arial" w:hAnsi="Arial"/>
          <w:i/>
          <w:sz w:val="24"/>
        </w:rPr>
        <w:t>them</w:t>
      </w:r>
      <w:proofErr w:type="gramEnd"/>
      <w:r>
        <w:rPr>
          <w:rFonts w:ascii="Arial" w:hAnsi="Arial"/>
          <w:i/>
          <w:sz w:val="24"/>
        </w:rPr>
        <w:t xml:space="preserve"> or they have no family.)</w:t>
      </w:r>
      <w:r>
        <w:rPr>
          <w:sz w:val="24"/>
        </w:rPr>
        <w:t>”</w:t>
      </w:r>
    </w:p>
    <w:p w14:paraId="5484F8DC" w14:textId="77777777" w:rsidR="00161C10" w:rsidRDefault="00CE2C8C">
      <w:pPr>
        <w:pStyle w:val="BodyText"/>
        <w:spacing w:before="114" w:line="276" w:lineRule="auto"/>
        <w:ind w:left="360" w:right="354"/>
        <w:jc w:val="both"/>
      </w:pPr>
      <w:r>
        <w:t xml:space="preserve">Following the adoption by the Commission of the </w:t>
      </w:r>
      <w:hyperlink r:id="rId83">
        <w:r>
          <w:rPr>
            <w:color w:val="1154CC"/>
            <w:u w:val="single" w:color="1154CC"/>
          </w:rPr>
          <w:t>Guidance on independent living and</w:t>
        </w:r>
      </w:hyperlink>
      <w:r>
        <w:rPr>
          <w:color w:val="1154CC"/>
        </w:rPr>
        <w:t xml:space="preserve"> </w:t>
      </w:r>
      <w:hyperlink r:id="rId84">
        <w:r>
          <w:rPr>
            <w:color w:val="1154CC"/>
            <w:u w:val="single" w:color="1154CC"/>
          </w:rPr>
          <w:t>inclusion in the community of persons with disabilities in the context of EU funding</w:t>
        </w:r>
      </w:hyperlink>
      <w:r>
        <w:rPr>
          <w:color w:val="1154CC"/>
        </w:rPr>
        <w:t xml:space="preserve"> </w:t>
      </w:r>
      <w:r>
        <w:t>(C(2024)7897 final), which states</w:t>
      </w:r>
      <w:r>
        <w:rPr>
          <w:spacing w:val="-1"/>
        </w:rPr>
        <w:t xml:space="preserve"> </w:t>
      </w:r>
      <w:r>
        <w:t>that MS should not use EU</w:t>
      </w:r>
      <w:r>
        <w:rPr>
          <w:spacing w:val="-1"/>
        </w:rPr>
        <w:t xml:space="preserve"> </w:t>
      </w:r>
      <w:r>
        <w:t>funds</w:t>
      </w:r>
      <w:r>
        <w:rPr>
          <w:spacing w:val="-5"/>
        </w:rPr>
        <w:t xml:space="preserve"> </w:t>
      </w:r>
      <w:r>
        <w:t>for</w:t>
      </w:r>
      <w:r>
        <w:rPr>
          <w:spacing w:val="-2"/>
        </w:rPr>
        <w:t xml:space="preserve"> </w:t>
      </w:r>
      <w:r>
        <w:t>institutions, there is a question of what status the Legal Service note and other internal documents (such as</w:t>
      </w:r>
      <w:r>
        <w:rPr>
          <w:spacing w:val="-2"/>
        </w:rPr>
        <w:t xml:space="preserve"> </w:t>
      </w:r>
      <w:r>
        <w:t>the</w:t>
      </w:r>
      <w:r>
        <w:rPr>
          <w:spacing w:val="-4"/>
        </w:rPr>
        <w:t xml:space="preserve"> </w:t>
      </w:r>
      <w:r>
        <w:t>one</w:t>
      </w:r>
      <w:r>
        <w:rPr>
          <w:spacing w:val="-4"/>
        </w:rPr>
        <w:t xml:space="preserve"> </w:t>
      </w:r>
      <w:r>
        <w:t>from</w:t>
      </w:r>
      <w:r>
        <w:rPr>
          <w:spacing w:val="-2"/>
        </w:rPr>
        <w:t xml:space="preserve"> </w:t>
      </w:r>
      <w:r>
        <w:t>January</w:t>
      </w:r>
      <w:r>
        <w:rPr>
          <w:spacing w:val="-2"/>
        </w:rPr>
        <w:t xml:space="preserve"> </w:t>
      </w:r>
      <w:r>
        <w:t>2022)</w:t>
      </w:r>
      <w:r>
        <w:rPr>
          <w:spacing w:val="-6"/>
        </w:rPr>
        <w:t xml:space="preserve"> </w:t>
      </w:r>
      <w:r>
        <w:t>have,</w:t>
      </w:r>
      <w:r>
        <w:rPr>
          <w:spacing w:val="-4"/>
        </w:rPr>
        <w:t xml:space="preserve"> </w:t>
      </w:r>
      <w:r>
        <w:t>and</w:t>
      </w:r>
      <w:r>
        <w:rPr>
          <w:spacing w:val="-4"/>
        </w:rPr>
        <w:t xml:space="preserve"> </w:t>
      </w:r>
      <w:r>
        <w:t>to</w:t>
      </w:r>
      <w:r>
        <w:rPr>
          <w:spacing w:val="-4"/>
        </w:rPr>
        <w:t xml:space="preserve"> </w:t>
      </w:r>
      <w:r>
        <w:t>what</w:t>
      </w:r>
      <w:r>
        <w:rPr>
          <w:spacing w:val="-4"/>
        </w:rPr>
        <w:t xml:space="preserve"> </w:t>
      </w:r>
      <w:r>
        <w:t>extent</w:t>
      </w:r>
      <w:r>
        <w:rPr>
          <w:spacing w:val="-4"/>
        </w:rPr>
        <w:t xml:space="preserve"> </w:t>
      </w:r>
      <w:r>
        <w:t>MS</w:t>
      </w:r>
      <w:r>
        <w:rPr>
          <w:spacing w:val="-2"/>
        </w:rPr>
        <w:t xml:space="preserve"> </w:t>
      </w:r>
      <w:r>
        <w:t>will</w:t>
      </w:r>
      <w:r>
        <w:rPr>
          <w:spacing w:val="-3"/>
        </w:rPr>
        <w:t xml:space="preserve"> </w:t>
      </w:r>
      <w:r>
        <w:t>be</w:t>
      </w:r>
      <w:r>
        <w:rPr>
          <w:spacing w:val="-6"/>
        </w:rPr>
        <w:t xml:space="preserve"> </w:t>
      </w:r>
      <w:r>
        <w:t>allowed</w:t>
      </w:r>
      <w:r>
        <w:rPr>
          <w:spacing w:val="-3"/>
        </w:rPr>
        <w:t xml:space="preserve"> </w:t>
      </w:r>
      <w:r>
        <w:t>to</w:t>
      </w:r>
      <w:r>
        <w:rPr>
          <w:spacing w:val="-4"/>
        </w:rPr>
        <w:t xml:space="preserve"> </w:t>
      </w:r>
      <w:r>
        <w:t>use</w:t>
      </w:r>
      <w:r>
        <w:rPr>
          <w:spacing w:val="-2"/>
        </w:rPr>
        <w:t xml:space="preserve"> </w:t>
      </w:r>
      <w:r>
        <w:t xml:space="preserve">them. It is clear from our examination of funding and of Operational </w:t>
      </w:r>
      <w:proofErr w:type="spellStart"/>
      <w:r>
        <w:t>Programmes</w:t>
      </w:r>
      <w:proofErr w:type="spellEnd"/>
      <w:r>
        <w:t xml:space="preserve"> that the internal guidance on residential care encouraged the approval of investments into institutions.</w:t>
      </w:r>
      <w:r>
        <w:rPr>
          <w:spacing w:val="-8"/>
        </w:rPr>
        <w:t xml:space="preserve"> </w:t>
      </w:r>
      <w:r>
        <w:t>It</w:t>
      </w:r>
      <w:r>
        <w:rPr>
          <w:spacing w:val="-8"/>
        </w:rPr>
        <w:t xml:space="preserve"> </w:t>
      </w:r>
      <w:r>
        <w:t>is</w:t>
      </w:r>
      <w:r>
        <w:rPr>
          <w:spacing w:val="-11"/>
        </w:rPr>
        <w:t xml:space="preserve"> </w:t>
      </w:r>
      <w:r>
        <w:t>also</w:t>
      </w:r>
      <w:r>
        <w:rPr>
          <w:spacing w:val="-8"/>
        </w:rPr>
        <w:t xml:space="preserve"> </w:t>
      </w:r>
      <w:r>
        <w:t>clear</w:t>
      </w:r>
      <w:r>
        <w:rPr>
          <w:spacing w:val="-9"/>
        </w:rPr>
        <w:t xml:space="preserve"> </w:t>
      </w:r>
      <w:r>
        <w:t>that</w:t>
      </w:r>
      <w:r>
        <w:rPr>
          <w:spacing w:val="-10"/>
        </w:rPr>
        <w:t xml:space="preserve"> </w:t>
      </w:r>
      <w:r>
        <w:t>these</w:t>
      </w:r>
      <w:r>
        <w:rPr>
          <w:spacing w:val="-9"/>
        </w:rPr>
        <w:t xml:space="preserve"> </w:t>
      </w:r>
      <w:r>
        <w:t>documents</w:t>
      </w:r>
      <w:r>
        <w:rPr>
          <w:spacing w:val="-8"/>
        </w:rPr>
        <w:t xml:space="preserve"> </w:t>
      </w:r>
      <w:r>
        <w:t>are</w:t>
      </w:r>
      <w:r>
        <w:rPr>
          <w:spacing w:val="-8"/>
        </w:rPr>
        <w:t xml:space="preserve"> </w:t>
      </w:r>
      <w:r>
        <w:t>issued</w:t>
      </w:r>
      <w:r>
        <w:rPr>
          <w:spacing w:val="-8"/>
        </w:rPr>
        <w:t xml:space="preserve"> </w:t>
      </w:r>
      <w:r>
        <w:t>‘internally’</w:t>
      </w:r>
      <w:r>
        <w:rPr>
          <w:spacing w:val="-9"/>
        </w:rPr>
        <w:t xml:space="preserve"> </w:t>
      </w:r>
      <w:r>
        <w:t>(in</w:t>
      </w:r>
      <w:r>
        <w:rPr>
          <w:spacing w:val="-8"/>
        </w:rPr>
        <w:t xml:space="preserve"> </w:t>
      </w:r>
      <w:r>
        <w:t>secret),</w:t>
      </w:r>
      <w:r>
        <w:rPr>
          <w:spacing w:val="-10"/>
        </w:rPr>
        <w:t xml:space="preserve"> </w:t>
      </w:r>
      <w:r>
        <w:t xml:space="preserve">without any involvement of disabled people’s </w:t>
      </w:r>
      <w:proofErr w:type="spellStart"/>
      <w:r>
        <w:t>organisations</w:t>
      </w:r>
      <w:proofErr w:type="spellEnd"/>
      <w:r>
        <w:t>.</w:t>
      </w:r>
    </w:p>
    <w:p w14:paraId="0C4BF681" w14:textId="77777777" w:rsidR="00161C10" w:rsidRDefault="00CE2C8C">
      <w:pPr>
        <w:pStyle w:val="BodyText"/>
        <w:spacing w:before="123" w:line="276" w:lineRule="auto"/>
        <w:ind w:left="360" w:right="356"/>
        <w:jc w:val="both"/>
      </w:pPr>
      <w:r>
        <w:t>Considering</w:t>
      </w:r>
      <w:r>
        <w:rPr>
          <w:spacing w:val="-9"/>
        </w:rPr>
        <w:t xml:space="preserve"> </w:t>
      </w:r>
      <w:r>
        <w:t>the</w:t>
      </w:r>
      <w:r>
        <w:rPr>
          <w:spacing w:val="-9"/>
        </w:rPr>
        <w:t xml:space="preserve"> </w:t>
      </w:r>
      <w:r>
        <w:t>non-binding</w:t>
      </w:r>
      <w:r>
        <w:rPr>
          <w:spacing w:val="-9"/>
        </w:rPr>
        <w:t xml:space="preserve"> </w:t>
      </w:r>
      <w:r>
        <w:t>nature</w:t>
      </w:r>
      <w:r>
        <w:rPr>
          <w:spacing w:val="-8"/>
        </w:rPr>
        <w:t xml:space="preserve"> </w:t>
      </w:r>
      <w:r>
        <w:t>of</w:t>
      </w:r>
      <w:r>
        <w:rPr>
          <w:spacing w:val="-7"/>
        </w:rPr>
        <w:t xml:space="preserve"> </w:t>
      </w:r>
      <w:r>
        <w:t>the</w:t>
      </w:r>
      <w:r>
        <w:rPr>
          <w:spacing w:val="-7"/>
        </w:rPr>
        <w:t xml:space="preserve"> </w:t>
      </w:r>
      <w:r>
        <w:t>Commission’s</w:t>
      </w:r>
      <w:r>
        <w:rPr>
          <w:spacing w:val="-8"/>
        </w:rPr>
        <w:t xml:space="preserve"> </w:t>
      </w:r>
      <w:r>
        <w:t>Guidance</w:t>
      </w:r>
      <w:r>
        <w:rPr>
          <w:spacing w:val="-12"/>
        </w:rPr>
        <w:t xml:space="preserve"> </w:t>
      </w:r>
      <w:r>
        <w:t>on</w:t>
      </w:r>
      <w:r>
        <w:rPr>
          <w:spacing w:val="-7"/>
        </w:rPr>
        <w:t xml:space="preserve"> </w:t>
      </w:r>
      <w:r>
        <w:t>independent</w:t>
      </w:r>
      <w:r>
        <w:rPr>
          <w:spacing w:val="-7"/>
        </w:rPr>
        <w:t xml:space="preserve"> </w:t>
      </w:r>
      <w:r>
        <w:t>living from 2024 and the impact of the legal service note on allowing investments into institutions, ENIL has been calling for new internal legal guidance, compliant with the UNCRPD standards, and therefore including a clear prohibition of investments into any kind of segregation, from institutions to small group homes. Positive investments into community-based services cannot serve to justify investments in institutions.</w:t>
      </w:r>
    </w:p>
    <w:p w14:paraId="593C5986" w14:textId="77777777" w:rsidR="00161C10" w:rsidRDefault="00CE2C8C">
      <w:pPr>
        <w:pStyle w:val="BodyText"/>
        <w:spacing w:before="119" w:line="276" w:lineRule="auto"/>
        <w:ind w:left="360" w:right="361"/>
        <w:jc w:val="both"/>
      </w:pPr>
      <w:r>
        <w:t>We suggest that a new legal note should, similarly to the Commission’s Guidance on independent</w:t>
      </w:r>
      <w:r>
        <w:rPr>
          <w:spacing w:val="-15"/>
        </w:rPr>
        <w:t xml:space="preserve"> </w:t>
      </w:r>
      <w:r>
        <w:t>living,</w:t>
      </w:r>
      <w:r>
        <w:rPr>
          <w:spacing w:val="-15"/>
        </w:rPr>
        <w:t xml:space="preserve"> </w:t>
      </w:r>
      <w:r>
        <w:t>be</w:t>
      </w:r>
      <w:r>
        <w:rPr>
          <w:spacing w:val="-15"/>
        </w:rPr>
        <w:t xml:space="preserve"> </w:t>
      </w:r>
      <w:r>
        <w:t>developed</w:t>
      </w:r>
      <w:r>
        <w:rPr>
          <w:spacing w:val="-15"/>
        </w:rPr>
        <w:t xml:space="preserve"> </w:t>
      </w:r>
      <w:r>
        <w:t>with</w:t>
      </w:r>
      <w:r>
        <w:rPr>
          <w:spacing w:val="-15"/>
        </w:rPr>
        <w:t xml:space="preserve"> </w:t>
      </w:r>
      <w:r>
        <w:t>the</w:t>
      </w:r>
      <w:r>
        <w:rPr>
          <w:spacing w:val="-15"/>
        </w:rPr>
        <w:t xml:space="preserve"> </w:t>
      </w:r>
      <w:r>
        <w:t>meaningful</w:t>
      </w:r>
      <w:r>
        <w:rPr>
          <w:spacing w:val="-14"/>
        </w:rPr>
        <w:t xml:space="preserve"> </w:t>
      </w:r>
      <w:r>
        <w:t>involvement</w:t>
      </w:r>
      <w:r>
        <w:rPr>
          <w:spacing w:val="-13"/>
        </w:rPr>
        <w:t xml:space="preserve"> </w:t>
      </w:r>
      <w:r>
        <w:t>of</w:t>
      </w:r>
      <w:r>
        <w:rPr>
          <w:spacing w:val="-15"/>
        </w:rPr>
        <w:t xml:space="preserve"> </w:t>
      </w:r>
      <w:r>
        <w:t>disabled</w:t>
      </w:r>
      <w:r>
        <w:rPr>
          <w:spacing w:val="-15"/>
        </w:rPr>
        <w:t xml:space="preserve"> </w:t>
      </w:r>
      <w:r>
        <w:t>people</w:t>
      </w:r>
      <w:r>
        <w:rPr>
          <w:spacing w:val="-16"/>
        </w:rPr>
        <w:t xml:space="preserve"> </w:t>
      </w:r>
      <w:r>
        <w:t xml:space="preserve">and their </w:t>
      </w:r>
      <w:proofErr w:type="spellStart"/>
      <w:r>
        <w:t>organisations</w:t>
      </w:r>
      <w:proofErr w:type="spellEnd"/>
      <w:r>
        <w:t>. It should refer to the UNCRPD, the General Comment 5, and the Guidelines on deinstitutionalisation, including in Emergencies, in terms of what investments EU funds must promote. These should include personal assistance, accessible housing, user-led Centers for Independent Living, accessibility of the built environment and mainstream services, or the development of deinstitutionalisation strategies and plans. The note should also include paths of action for the EU in case of violations.</w:t>
      </w:r>
      <w:r>
        <w:rPr>
          <w:spacing w:val="25"/>
        </w:rPr>
        <w:t xml:space="preserve"> </w:t>
      </w:r>
      <w:r>
        <w:t>This</w:t>
      </w:r>
      <w:r>
        <w:rPr>
          <w:spacing w:val="27"/>
        </w:rPr>
        <w:t xml:space="preserve"> </w:t>
      </w:r>
      <w:r>
        <w:t>can</w:t>
      </w:r>
      <w:r>
        <w:rPr>
          <w:spacing w:val="28"/>
        </w:rPr>
        <w:t xml:space="preserve"> </w:t>
      </w:r>
      <w:r>
        <w:t>be</w:t>
      </w:r>
      <w:r>
        <w:rPr>
          <w:spacing w:val="28"/>
        </w:rPr>
        <w:t xml:space="preserve"> </w:t>
      </w:r>
      <w:r>
        <w:t>done</w:t>
      </w:r>
      <w:r>
        <w:rPr>
          <w:spacing w:val="25"/>
        </w:rPr>
        <w:t xml:space="preserve"> </w:t>
      </w:r>
      <w:r>
        <w:t>through</w:t>
      </w:r>
      <w:r>
        <w:rPr>
          <w:spacing w:val="26"/>
        </w:rPr>
        <w:t xml:space="preserve"> </w:t>
      </w:r>
      <w:r>
        <w:t>supporting</w:t>
      </w:r>
      <w:r>
        <w:rPr>
          <w:spacing w:val="28"/>
        </w:rPr>
        <w:t xml:space="preserve"> </w:t>
      </w:r>
      <w:r>
        <w:t>the</w:t>
      </w:r>
      <w:r>
        <w:rPr>
          <w:spacing w:val="28"/>
        </w:rPr>
        <w:t xml:space="preserve"> </w:t>
      </w:r>
      <w:r>
        <w:t>establishment</w:t>
      </w:r>
      <w:r>
        <w:rPr>
          <w:spacing w:val="28"/>
        </w:rPr>
        <w:t xml:space="preserve"> </w:t>
      </w:r>
      <w:r>
        <w:t>of</w:t>
      </w:r>
      <w:r>
        <w:rPr>
          <w:spacing w:val="25"/>
        </w:rPr>
        <w:t xml:space="preserve"> </w:t>
      </w:r>
      <w:r>
        <w:t>mechanisms</w:t>
      </w:r>
      <w:r>
        <w:rPr>
          <w:spacing w:val="25"/>
        </w:rPr>
        <w:t xml:space="preserve"> </w:t>
      </w:r>
      <w:r>
        <w:t>for</w:t>
      </w:r>
    </w:p>
    <w:p w14:paraId="7B435F64" w14:textId="77777777" w:rsidR="00161C10" w:rsidRDefault="00161C10">
      <w:pPr>
        <w:pStyle w:val="BodyText"/>
        <w:rPr>
          <w:sz w:val="20"/>
        </w:rPr>
      </w:pPr>
    </w:p>
    <w:p w14:paraId="62AF66E1" w14:textId="77777777" w:rsidR="00161C10" w:rsidRDefault="00161C10">
      <w:pPr>
        <w:pStyle w:val="BodyText"/>
        <w:rPr>
          <w:sz w:val="20"/>
        </w:rPr>
      </w:pPr>
    </w:p>
    <w:p w14:paraId="7E0AA0C6" w14:textId="77777777" w:rsidR="00161C10" w:rsidRDefault="00161C10">
      <w:pPr>
        <w:pStyle w:val="BodyText"/>
        <w:rPr>
          <w:sz w:val="20"/>
        </w:rPr>
      </w:pPr>
    </w:p>
    <w:p w14:paraId="78C6C05D" w14:textId="77777777" w:rsidR="00161C10" w:rsidRDefault="00161C10">
      <w:pPr>
        <w:pStyle w:val="BodyText"/>
        <w:rPr>
          <w:sz w:val="20"/>
        </w:rPr>
      </w:pPr>
    </w:p>
    <w:p w14:paraId="7BCEBA79" w14:textId="77777777" w:rsidR="00161C10" w:rsidRDefault="00CE2C8C">
      <w:pPr>
        <w:pStyle w:val="BodyText"/>
        <w:spacing w:before="187"/>
        <w:rPr>
          <w:sz w:val="20"/>
        </w:rPr>
      </w:pPr>
      <w:r>
        <w:rPr>
          <w:noProof/>
          <w:sz w:val="20"/>
        </w:rPr>
        <mc:AlternateContent>
          <mc:Choice Requires="wps">
            <w:drawing>
              <wp:anchor distT="0" distB="0" distL="0" distR="0" simplePos="0" relativeHeight="487598592" behindDoc="1" locked="0" layoutInCell="1" allowOverlap="1" wp14:anchorId="0603A5A5" wp14:editId="54F65979">
                <wp:simplePos x="0" y="0"/>
                <wp:positionH relativeFrom="page">
                  <wp:posOffset>914704</wp:posOffset>
                </wp:positionH>
                <wp:positionV relativeFrom="paragraph">
                  <wp:posOffset>280055</wp:posOffset>
                </wp:positionV>
                <wp:extent cx="1829435" cy="762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3E2079" id="Graphic 32" o:spid="_x0000_s1026" style="position:absolute;margin-left:1in;margin-top:22.05pt;width:144.05pt;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" path="m1829054,l,,,7620r1829054,l1829054,xe" fillcolor="black" stroked="f">
                <v:path arrowok="t"/>
                <w10:wrap type="topAndBottom" anchorx="page"/>
              </v:shape>
            </w:pict>
          </mc:Fallback>
        </mc:AlternateContent>
      </w:r>
    </w:p>
    <w:p w14:paraId="44D4BC8D" w14:textId="77777777" w:rsidR="00161C10" w:rsidRDefault="00CE2C8C">
      <w:pPr>
        <w:spacing w:before="91"/>
        <w:ind w:left="360"/>
        <w:rPr>
          <w:sz w:val="20"/>
        </w:rPr>
      </w:pPr>
      <w:bookmarkStart w:id="8" w:name="_bookmark8"/>
      <w:bookmarkEnd w:id="8"/>
      <w:r>
        <w:rPr>
          <w:position w:val="6"/>
          <w:sz w:val="13"/>
        </w:rPr>
        <w:t>9</w:t>
      </w:r>
      <w:r>
        <w:rPr>
          <w:spacing w:val="12"/>
          <w:position w:val="6"/>
          <w:sz w:val="13"/>
        </w:rPr>
        <w:t xml:space="preserve"> </w:t>
      </w:r>
      <w:r>
        <w:rPr>
          <w:sz w:val="20"/>
        </w:rPr>
        <w:t>This</w:t>
      </w:r>
      <w:r>
        <w:rPr>
          <w:spacing w:val="-6"/>
          <w:sz w:val="20"/>
        </w:rPr>
        <w:t xml:space="preserve"> </w:t>
      </w:r>
      <w:r>
        <w:rPr>
          <w:sz w:val="20"/>
        </w:rPr>
        <w:t>document</w:t>
      </w:r>
      <w:r>
        <w:rPr>
          <w:spacing w:val="-7"/>
          <w:sz w:val="20"/>
        </w:rPr>
        <w:t xml:space="preserve"> </w:t>
      </w:r>
      <w:r>
        <w:rPr>
          <w:sz w:val="20"/>
        </w:rPr>
        <w:t>is</w:t>
      </w:r>
      <w:r>
        <w:rPr>
          <w:spacing w:val="-4"/>
          <w:sz w:val="20"/>
        </w:rPr>
        <w:t xml:space="preserve"> </w:t>
      </w:r>
      <w:r>
        <w:rPr>
          <w:sz w:val="20"/>
        </w:rPr>
        <w:t>available</w:t>
      </w:r>
      <w:r>
        <w:rPr>
          <w:spacing w:val="-5"/>
          <w:sz w:val="20"/>
        </w:rPr>
        <w:t xml:space="preserve"> </w:t>
      </w:r>
      <w:r>
        <w:rPr>
          <w:sz w:val="20"/>
        </w:rPr>
        <w:t>from</w:t>
      </w:r>
      <w:r>
        <w:rPr>
          <w:spacing w:val="-5"/>
          <w:sz w:val="20"/>
        </w:rPr>
        <w:t xml:space="preserve"> </w:t>
      </w:r>
      <w:r>
        <w:rPr>
          <w:sz w:val="20"/>
        </w:rPr>
        <w:t>ENIL</w:t>
      </w:r>
      <w:r>
        <w:rPr>
          <w:spacing w:val="-5"/>
          <w:sz w:val="20"/>
        </w:rPr>
        <w:t xml:space="preserve"> </w:t>
      </w:r>
      <w:r>
        <w:rPr>
          <w:sz w:val="20"/>
        </w:rPr>
        <w:t>upon</w:t>
      </w:r>
      <w:r>
        <w:rPr>
          <w:spacing w:val="-7"/>
          <w:sz w:val="20"/>
        </w:rPr>
        <w:t xml:space="preserve"> </w:t>
      </w:r>
      <w:r>
        <w:rPr>
          <w:spacing w:val="-2"/>
          <w:sz w:val="20"/>
        </w:rPr>
        <w:t>request.</w:t>
      </w:r>
    </w:p>
    <w:p w14:paraId="30524C28" w14:textId="77777777" w:rsidR="00161C10" w:rsidRDefault="00161C10">
      <w:pPr>
        <w:rPr>
          <w:sz w:val="20"/>
        </w:rPr>
        <w:sectPr w:rsidR="00161C10">
          <w:pgSz w:w="12240" w:h="15840"/>
          <w:pgMar w:top="1360" w:right="1080" w:bottom="1460" w:left="1080" w:header="0" w:footer="1274" w:gutter="0"/>
          <w:cols w:space="720"/>
        </w:sectPr>
      </w:pPr>
    </w:p>
    <w:p w14:paraId="604079B0" w14:textId="77777777" w:rsidR="00161C10" w:rsidRDefault="00CE2C8C">
      <w:pPr>
        <w:pStyle w:val="BodyText"/>
        <w:spacing w:before="81" w:line="271" w:lineRule="auto"/>
        <w:ind w:left="360"/>
        <w:rPr>
          <w:position w:val="8"/>
          <w:sz w:val="16"/>
        </w:rPr>
      </w:pPr>
      <w:r>
        <w:lastRenderedPageBreak/>
        <w:t>reparations,</w:t>
      </w:r>
      <w:r>
        <w:rPr>
          <w:spacing w:val="40"/>
        </w:rPr>
        <w:t xml:space="preserve"> </w:t>
      </w:r>
      <w:r>
        <w:t>the</w:t>
      </w:r>
      <w:r>
        <w:rPr>
          <w:spacing w:val="40"/>
        </w:rPr>
        <w:t xml:space="preserve"> </w:t>
      </w:r>
      <w:r>
        <w:t>use</w:t>
      </w:r>
      <w:r>
        <w:rPr>
          <w:spacing w:val="40"/>
        </w:rPr>
        <w:t xml:space="preserve"> </w:t>
      </w:r>
      <w:r>
        <w:t>of</w:t>
      </w:r>
      <w:r>
        <w:rPr>
          <w:spacing w:val="40"/>
        </w:rPr>
        <w:t xml:space="preserve"> </w:t>
      </w:r>
      <w:r>
        <w:t>the</w:t>
      </w:r>
      <w:r>
        <w:rPr>
          <w:spacing w:val="40"/>
        </w:rPr>
        <w:t xml:space="preserve"> </w:t>
      </w:r>
      <w:r>
        <w:t>infringement</w:t>
      </w:r>
      <w:r>
        <w:rPr>
          <w:spacing w:val="40"/>
        </w:rPr>
        <w:t xml:space="preserve"> </w:t>
      </w:r>
      <w:r>
        <w:t>procedure,</w:t>
      </w:r>
      <w:r>
        <w:rPr>
          <w:spacing w:val="40"/>
        </w:rPr>
        <w:t xml:space="preserve"> </w:t>
      </w:r>
      <w:r>
        <w:t>and</w:t>
      </w:r>
      <w:r>
        <w:rPr>
          <w:spacing w:val="40"/>
        </w:rPr>
        <w:t xml:space="preserve"> </w:t>
      </w:r>
      <w:r>
        <w:t>political</w:t>
      </w:r>
      <w:r>
        <w:rPr>
          <w:spacing w:val="40"/>
        </w:rPr>
        <w:t xml:space="preserve"> </w:t>
      </w:r>
      <w:r>
        <w:t>pressure</w:t>
      </w:r>
      <w:r>
        <w:rPr>
          <w:spacing w:val="40"/>
        </w:rPr>
        <w:t xml:space="preserve"> </w:t>
      </w:r>
      <w:r>
        <w:t>towards</w:t>
      </w:r>
      <w:r>
        <w:rPr>
          <w:spacing w:val="80"/>
        </w:rPr>
        <w:t xml:space="preserve"> </w:t>
      </w:r>
      <w:r>
        <w:t>Member States when investments into institutions are planned.</w:t>
      </w:r>
      <w:hyperlink w:anchor="_bookmark9" w:history="1">
        <w:r>
          <w:rPr>
            <w:position w:val="8"/>
            <w:sz w:val="16"/>
          </w:rPr>
          <w:t>10</w:t>
        </w:r>
      </w:hyperlink>
    </w:p>
    <w:p w14:paraId="24894901" w14:textId="77777777" w:rsidR="00161C10" w:rsidRDefault="00CE2C8C">
      <w:pPr>
        <w:spacing w:before="125"/>
        <w:ind w:left="360"/>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41C26CB3" w14:textId="77777777" w:rsidR="00161C10" w:rsidRDefault="00CE2C8C">
      <w:pPr>
        <w:pStyle w:val="BodyText"/>
        <w:spacing w:before="2"/>
        <w:rPr>
          <w:rFonts w:ascii="Arial"/>
          <w:b/>
          <w:i/>
          <w:sz w:val="12"/>
        </w:rPr>
      </w:pPr>
      <w:r>
        <w:rPr>
          <w:rFonts w:ascii="Arial"/>
          <w:b/>
          <w:i/>
          <w:noProof/>
          <w:sz w:val="12"/>
        </w:rPr>
        <mc:AlternateContent>
          <mc:Choice Requires="wps">
            <w:drawing>
              <wp:anchor distT="0" distB="0" distL="0" distR="0" simplePos="0" relativeHeight="487599104" behindDoc="1" locked="0" layoutInCell="1" allowOverlap="1" wp14:anchorId="09D34915" wp14:editId="09A7611B">
                <wp:simplePos x="0" y="0"/>
                <wp:positionH relativeFrom="page">
                  <wp:posOffset>843076</wp:posOffset>
                </wp:positionH>
                <wp:positionV relativeFrom="paragraph">
                  <wp:posOffset>107794</wp:posOffset>
                </wp:positionV>
                <wp:extent cx="6088380" cy="143954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1439545"/>
                        </a:xfrm>
                        <a:prstGeom prst="rect">
                          <a:avLst/>
                        </a:prstGeom>
                        <a:ln w="6095">
                          <a:solidFill>
                            <a:srgbClr val="000000"/>
                          </a:solidFill>
                          <a:prstDash val="solid"/>
                        </a:ln>
                      </wps:spPr>
                      <wps:txbx>
                        <w:txbxContent>
                          <w:p w14:paraId="5B8644D3" w14:textId="77777777" w:rsidR="00161C10" w:rsidRDefault="00CE2C8C">
                            <w:pPr>
                              <w:spacing w:before="19" w:line="276" w:lineRule="auto"/>
                              <w:ind w:left="108" w:right="107"/>
                              <w:jc w:val="both"/>
                              <w:rPr>
                                <w:rFonts w:ascii="Arial" w:hAnsi="Arial"/>
                                <w:b/>
                                <w:sz w:val="24"/>
                              </w:rPr>
                            </w:pPr>
                            <w:r>
                              <w:rPr>
                                <w:rFonts w:ascii="Arial" w:hAnsi="Arial"/>
                                <w:b/>
                                <w:sz w:val="24"/>
                              </w:rPr>
                              <w:t>The Committee asks the European Commission’s legal service to review their guidance on investments in institutions funded by the EU in a manner that is aligned with the UNCRPD, with a clear prohibition of investing in institutions and pathways for sanctions in case there are violations. The Committee calls on the new</w:t>
                            </w:r>
                            <w:r>
                              <w:rPr>
                                <w:rFonts w:ascii="Arial" w:hAnsi="Arial"/>
                                <w:b/>
                                <w:spacing w:val="-7"/>
                                <w:sz w:val="24"/>
                              </w:rPr>
                              <w:t xml:space="preserve"> </w:t>
                            </w:r>
                            <w:r>
                              <w:rPr>
                                <w:rFonts w:ascii="Arial" w:hAnsi="Arial"/>
                                <w:b/>
                                <w:sz w:val="24"/>
                              </w:rPr>
                              <w:t>Commissioners</w:t>
                            </w:r>
                            <w:r>
                              <w:rPr>
                                <w:rFonts w:ascii="Arial" w:hAnsi="Arial"/>
                                <w:b/>
                                <w:spacing w:val="-9"/>
                                <w:sz w:val="24"/>
                              </w:rPr>
                              <w:t xml:space="preserve"> </w:t>
                            </w:r>
                            <w:r>
                              <w:rPr>
                                <w:rFonts w:ascii="Arial" w:hAnsi="Arial"/>
                                <w:b/>
                                <w:sz w:val="24"/>
                              </w:rPr>
                              <w:t>to</w:t>
                            </w:r>
                            <w:r>
                              <w:rPr>
                                <w:rFonts w:ascii="Arial" w:hAnsi="Arial"/>
                                <w:b/>
                                <w:spacing w:val="-9"/>
                                <w:sz w:val="24"/>
                              </w:rPr>
                              <w:t xml:space="preserve"> </w:t>
                            </w:r>
                            <w:r>
                              <w:rPr>
                                <w:rFonts w:ascii="Arial" w:hAnsi="Arial"/>
                                <w:b/>
                                <w:sz w:val="24"/>
                              </w:rPr>
                              <w:t>ensure</w:t>
                            </w:r>
                            <w:r>
                              <w:rPr>
                                <w:rFonts w:ascii="Arial" w:hAnsi="Arial"/>
                                <w:b/>
                                <w:spacing w:val="-5"/>
                                <w:sz w:val="24"/>
                              </w:rPr>
                              <w:t xml:space="preserve"> </w:t>
                            </w:r>
                            <w:r>
                              <w:rPr>
                                <w:rFonts w:ascii="Arial" w:hAnsi="Arial"/>
                                <w:b/>
                                <w:sz w:val="24"/>
                              </w:rPr>
                              <w:t>that</w:t>
                            </w:r>
                            <w:r>
                              <w:rPr>
                                <w:rFonts w:ascii="Arial" w:hAnsi="Arial"/>
                                <w:b/>
                                <w:spacing w:val="-8"/>
                                <w:sz w:val="24"/>
                              </w:rPr>
                              <w:t xml:space="preserve"> </w:t>
                            </w:r>
                            <w:r>
                              <w:rPr>
                                <w:rFonts w:ascii="Arial" w:hAnsi="Arial"/>
                                <w:b/>
                                <w:sz w:val="24"/>
                              </w:rPr>
                              <w:t>any</w:t>
                            </w:r>
                            <w:r>
                              <w:rPr>
                                <w:rFonts w:ascii="Arial" w:hAnsi="Arial"/>
                                <w:b/>
                                <w:spacing w:val="-10"/>
                                <w:sz w:val="24"/>
                              </w:rPr>
                              <w:t xml:space="preserve"> </w:t>
                            </w:r>
                            <w:r>
                              <w:rPr>
                                <w:rFonts w:ascii="Arial" w:hAnsi="Arial"/>
                                <w:b/>
                                <w:sz w:val="24"/>
                              </w:rPr>
                              <w:t>internal</w:t>
                            </w:r>
                            <w:r>
                              <w:rPr>
                                <w:rFonts w:ascii="Arial" w:hAnsi="Arial"/>
                                <w:b/>
                                <w:spacing w:val="-7"/>
                                <w:sz w:val="24"/>
                              </w:rPr>
                              <w:t xml:space="preserve"> </w:t>
                            </w:r>
                            <w:r>
                              <w:rPr>
                                <w:rFonts w:ascii="Arial" w:hAnsi="Arial"/>
                                <w:b/>
                                <w:sz w:val="24"/>
                              </w:rPr>
                              <w:t>documents</w:t>
                            </w:r>
                            <w:r>
                              <w:rPr>
                                <w:rFonts w:ascii="Arial" w:hAnsi="Arial"/>
                                <w:b/>
                                <w:spacing w:val="-7"/>
                                <w:sz w:val="24"/>
                              </w:rPr>
                              <w:t xml:space="preserve"> </w:t>
                            </w:r>
                            <w:r>
                              <w:rPr>
                                <w:rFonts w:ascii="Arial" w:hAnsi="Arial"/>
                                <w:b/>
                                <w:sz w:val="24"/>
                              </w:rPr>
                              <w:t>on</w:t>
                            </w:r>
                            <w:r>
                              <w:rPr>
                                <w:rFonts w:ascii="Arial" w:hAnsi="Arial"/>
                                <w:b/>
                                <w:spacing w:val="-8"/>
                                <w:sz w:val="24"/>
                              </w:rPr>
                              <w:t xml:space="preserve"> </w:t>
                            </w:r>
                            <w:r>
                              <w:rPr>
                                <w:rFonts w:ascii="Arial" w:hAnsi="Arial"/>
                                <w:b/>
                                <w:sz w:val="24"/>
                              </w:rPr>
                              <w:t>the</w:t>
                            </w:r>
                            <w:r>
                              <w:rPr>
                                <w:rFonts w:ascii="Arial" w:hAnsi="Arial"/>
                                <w:b/>
                                <w:spacing w:val="-7"/>
                                <w:sz w:val="24"/>
                              </w:rPr>
                              <w:t xml:space="preserve"> </w:t>
                            </w:r>
                            <w:r>
                              <w:rPr>
                                <w:rFonts w:ascii="Arial" w:hAnsi="Arial"/>
                                <w:b/>
                                <w:sz w:val="24"/>
                              </w:rPr>
                              <w:t>topic</w:t>
                            </w:r>
                            <w:r>
                              <w:rPr>
                                <w:rFonts w:ascii="Arial" w:hAnsi="Arial"/>
                                <w:b/>
                                <w:spacing w:val="-7"/>
                                <w:sz w:val="24"/>
                              </w:rPr>
                              <w:t xml:space="preserve"> </w:t>
                            </w:r>
                            <w:r>
                              <w:rPr>
                                <w:rFonts w:ascii="Arial" w:hAnsi="Arial"/>
                                <w:b/>
                                <w:sz w:val="24"/>
                              </w:rPr>
                              <w:t>of</w:t>
                            </w:r>
                            <w:r>
                              <w:rPr>
                                <w:rFonts w:ascii="Arial" w:hAnsi="Arial"/>
                                <w:b/>
                                <w:spacing w:val="-9"/>
                                <w:sz w:val="24"/>
                              </w:rPr>
                              <w:t xml:space="preserve"> </w:t>
                            </w:r>
                            <w:r>
                              <w:rPr>
                                <w:rFonts w:ascii="Arial" w:hAnsi="Arial"/>
                                <w:b/>
                                <w:sz w:val="24"/>
                              </w:rPr>
                              <w:t>funding residential care settings funded by the EU are fully compliant with the UNCRPD, thus making investments into residential care for disabled people ineligible.</w:t>
                            </w:r>
                          </w:p>
                        </w:txbxContent>
                      </wps:txbx>
                      <wps:bodyPr wrap="square" lIns="0" tIns="0" rIns="0" bIns="0" rtlCol="0">
                        <a:noAutofit/>
                      </wps:bodyPr>
                    </wps:wsp>
                  </a:graphicData>
                </a:graphic>
              </wp:anchor>
            </w:drawing>
          </mc:Choice>
          <mc:Fallback>
            <w:pict>
              <v:shape w14:anchorId="09D34915" id="Textbox 33" o:spid="_x0000_s1048" type="#_x0000_t202" style="position:absolute;margin-left:66.4pt;margin-top:8.5pt;width:479.4pt;height:113.35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" filled="f" strokeweight=".16931mm">
                <v:path arrowok="t"/>
                <v:textbox inset="0,0,0,0">
                  <w:txbxContent>
                    <w:p w14:paraId="5B8644D3" w14:textId="77777777" w:rsidR="00161C10" w:rsidRDefault="00CE2C8C">
                      <w:pPr>
                        <w:spacing w:before="19" w:line="276" w:lineRule="auto"/>
                        <w:ind w:left="108" w:right="107"/>
                        <w:jc w:val="both"/>
                        <w:rPr>
                          <w:rFonts w:ascii="Arial" w:hAnsi="Arial"/>
                          <w:b/>
                          <w:sz w:val="24"/>
                        </w:rPr>
                      </w:pPr>
                      <w:r>
                        <w:rPr>
                          <w:rFonts w:ascii="Arial" w:hAnsi="Arial"/>
                          <w:b/>
                          <w:sz w:val="24"/>
                        </w:rPr>
                        <w:t>The Committee asks the European Commission’s legal service to review their guidance on investments in institutions funded by the EU in a manner that is aligned with the UNCRPD, with a clear prohibition of investing in institutions and pathways for sanctions in case there are violations. The Committee calls on the new</w:t>
                      </w:r>
                      <w:r>
                        <w:rPr>
                          <w:rFonts w:ascii="Arial" w:hAnsi="Arial"/>
                          <w:b/>
                          <w:spacing w:val="-7"/>
                          <w:sz w:val="24"/>
                        </w:rPr>
                        <w:t xml:space="preserve"> </w:t>
                      </w:r>
                      <w:r>
                        <w:rPr>
                          <w:rFonts w:ascii="Arial" w:hAnsi="Arial"/>
                          <w:b/>
                          <w:sz w:val="24"/>
                        </w:rPr>
                        <w:t>Commissioners</w:t>
                      </w:r>
                      <w:r>
                        <w:rPr>
                          <w:rFonts w:ascii="Arial" w:hAnsi="Arial"/>
                          <w:b/>
                          <w:spacing w:val="-9"/>
                          <w:sz w:val="24"/>
                        </w:rPr>
                        <w:t xml:space="preserve"> </w:t>
                      </w:r>
                      <w:r>
                        <w:rPr>
                          <w:rFonts w:ascii="Arial" w:hAnsi="Arial"/>
                          <w:b/>
                          <w:sz w:val="24"/>
                        </w:rPr>
                        <w:t>to</w:t>
                      </w:r>
                      <w:r>
                        <w:rPr>
                          <w:rFonts w:ascii="Arial" w:hAnsi="Arial"/>
                          <w:b/>
                          <w:spacing w:val="-9"/>
                          <w:sz w:val="24"/>
                        </w:rPr>
                        <w:t xml:space="preserve"> </w:t>
                      </w:r>
                      <w:r>
                        <w:rPr>
                          <w:rFonts w:ascii="Arial" w:hAnsi="Arial"/>
                          <w:b/>
                          <w:sz w:val="24"/>
                        </w:rPr>
                        <w:t>ensure</w:t>
                      </w:r>
                      <w:r>
                        <w:rPr>
                          <w:rFonts w:ascii="Arial" w:hAnsi="Arial"/>
                          <w:b/>
                          <w:spacing w:val="-5"/>
                          <w:sz w:val="24"/>
                        </w:rPr>
                        <w:t xml:space="preserve"> </w:t>
                      </w:r>
                      <w:r>
                        <w:rPr>
                          <w:rFonts w:ascii="Arial" w:hAnsi="Arial"/>
                          <w:b/>
                          <w:sz w:val="24"/>
                        </w:rPr>
                        <w:t>that</w:t>
                      </w:r>
                      <w:r>
                        <w:rPr>
                          <w:rFonts w:ascii="Arial" w:hAnsi="Arial"/>
                          <w:b/>
                          <w:spacing w:val="-8"/>
                          <w:sz w:val="24"/>
                        </w:rPr>
                        <w:t xml:space="preserve"> </w:t>
                      </w:r>
                      <w:r>
                        <w:rPr>
                          <w:rFonts w:ascii="Arial" w:hAnsi="Arial"/>
                          <w:b/>
                          <w:sz w:val="24"/>
                        </w:rPr>
                        <w:t>any</w:t>
                      </w:r>
                      <w:r>
                        <w:rPr>
                          <w:rFonts w:ascii="Arial" w:hAnsi="Arial"/>
                          <w:b/>
                          <w:spacing w:val="-10"/>
                          <w:sz w:val="24"/>
                        </w:rPr>
                        <w:t xml:space="preserve"> </w:t>
                      </w:r>
                      <w:r>
                        <w:rPr>
                          <w:rFonts w:ascii="Arial" w:hAnsi="Arial"/>
                          <w:b/>
                          <w:sz w:val="24"/>
                        </w:rPr>
                        <w:t>internal</w:t>
                      </w:r>
                      <w:r>
                        <w:rPr>
                          <w:rFonts w:ascii="Arial" w:hAnsi="Arial"/>
                          <w:b/>
                          <w:spacing w:val="-7"/>
                          <w:sz w:val="24"/>
                        </w:rPr>
                        <w:t xml:space="preserve"> </w:t>
                      </w:r>
                      <w:r>
                        <w:rPr>
                          <w:rFonts w:ascii="Arial" w:hAnsi="Arial"/>
                          <w:b/>
                          <w:sz w:val="24"/>
                        </w:rPr>
                        <w:t>documents</w:t>
                      </w:r>
                      <w:r>
                        <w:rPr>
                          <w:rFonts w:ascii="Arial" w:hAnsi="Arial"/>
                          <w:b/>
                          <w:spacing w:val="-7"/>
                          <w:sz w:val="24"/>
                        </w:rPr>
                        <w:t xml:space="preserve"> </w:t>
                      </w:r>
                      <w:r>
                        <w:rPr>
                          <w:rFonts w:ascii="Arial" w:hAnsi="Arial"/>
                          <w:b/>
                          <w:sz w:val="24"/>
                        </w:rPr>
                        <w:t>on</w:t>
                      </w:r>
                      <w:r>
                        <w:rPr>
                          <w:rFonts w:ascii="Arial" w:hAnsi="Arial"/>
                          <w:b/>
                          <w:spacing w:val="-8"/>
                          <w:sz w:val="24"/>
                        </w:rPr>
                        <w:t xml:space="preserve"> </w:t>
                      </w:r>
                      <w:r>
                        <w:rPr>
                          <w:rFonts w:ascii="Arial" w:hAnsi="Arial"/>
                          <w:b/>
                          <w:sz w:val="24"/>
                        </w:rPr>
                        <w:t>the</w:t>
                      </w:r>
                      <w:r>
                        <w:rPr>
                          <w:rFonts w:ascii="Arial" w:hAnsi="Arial"/>
                          <w:b/>
                          <w:spacing w:val="-7"/>
                          <w:sz w:val="24"/>
                        </w:rPr>
                        <w:t xml:space="preserve"> </w:t>
                      </w:r>
                      <w:r>
                        <w:rPr>
                          <w:rFonts w:ascii="Arial" w:hAnsi="Arial"/>
                          <w:b/>
                          <w:sz w:val="24"/>
                        </w:rPr>
                        <w:t>topic</w:t>
                      </w:r>
                      <w:r>
                        <w:rPr>
                          <w:rFonts w:ascii="Arial" w:hAnsi="Arial"/>
                          <w:b/>
                          <w:spacing w:val="-7"/>
                          <w:sz w:val="24"/>
                        </w:rPr>
                        <w:t xml:space="preserve"> </w:t>
                      </w:r>
                      <w:r>
                        <w:rPr>
                          <w:rFonts w:ascii="Arial" w:hAnsi="Arial"/>
                          <w:b/>
                          <w:sz w:val="24"/>
                        </w:rPr>
                        <w:t>of</w:t>
                      </w:r>
                      <w:r>
                        <w:rPr>
                          <w:rFonts w:ascii="Arial" w:hAnsi="Arial"/>
                          <w:b/>
                          <w:spacing w:val="-9"/>
                          <w:sz w:val="24"/>
                        </w:rPr>
                        <w:t xml:space="preserve"> </w:t>
                      </w:r>
                      <w:r>
                        <w:rPr>
                          <w:rFonts w:ascii="Arial" w:hAnsi="Arial"/>
                          <w:b/>
                          <w:sz w:val="24"/>
                        </w:rPr>
                        <w:t>funding residential care settings funded by the EU are fully compliant with the UNCRPD, thus making investments into residential care for disabled people ineligible.</w:t>
                      </w:r>
                    </w:p>
                  </w:txbxContent>
                </v:textbox>
                <w10:wrap type="topAndBottom" anchorx="page"/>
              </v:shape>
            </w:pict>
          </mc:Fallback>
        </mc:AlternateContent>
      </w:r>
    </w:p>
    <w:p w14:paraId="5AD0F7DA" w14:textId="77777777" w:rsidR="00161C10" w:rsidRDefault="00CE2C8C">
      <w:pPr>
        <w:spacing w:before="127" w:line="276" w:lineRule="auto"/>
        <w:ind w:left="360" w:right="362"/>
        <w:jc w:val="both"/>
        <w:rPr>
          <w:rFonts w:ascii="Arial" w:hAnsi="Arial"/>
          <w:i/>
          <w:sz w:val="24"/>
        </w:rPr>
      </w:pPr>
      <w:r>
        <w:rPr>
          <w:rFonts w:ascii="Arial" w:hAnsi="Arial"/>
          <w:i/>
          <w:sz w:val="24"/>
        </w:rPr>
        <w:t>The European Union also states that “the RRF also supports investments in residential care infrastructure and related services that are compliant with certain conditions, including the principles of independent living”.</w:t>
      </w:r>
    </w:p>
    <w:p w14:paraId="1DC14475" w14:textId="77777777" w:rsidR="00161C10" w:rsidRDefault="00CE2C8C">
      <w:pPr>
        <w:spacing w:before="121" w:line="276" w:lineRule="auto"/>
        <w:ind w:left="360" w:right="359"/>
        <w:jc w:val="both"/>
        <w:rPr>
          <w:sz w:val="24"/>
        </w:rPr>
      </w:pPr>
      <w:r>
        <w:rPr>
          <w:sz w:val="24"/>
        </w:rPr>
        <w:t>ENIL</w:t>
      </w:r>
      <w:r>
        <w:rPr>
          <w:spacing w:val="-7"/>
          <w:sz w:val="24"/>
        </w:rPr>
        <w:t xml:space="preserve"> </w:t>
      </w:r>
      <w:r>
        <w:rPr>
          <w:sz w:val="24"/>
        </w:rPr>
        <w:t>notes</w:t>
      </w:r>
      <w:r>
        <w:rPr>
          <w:spacing w:val="-8"/>
          <w:sz w:val="24"/>
        </w:rPr>
        <w:t xml:space="preserve"> </w:t>
      </w:r>
      <w:r>
        <w:rPr>
          <w:sz w:val="24"/>
        </w:rPr>
        <w:t>that</w:t>
      </w:r>
      <w:r>
        <w:rPr>
          <w:spacing w:val="-7"/>
          <w:sz w:val="24"/>
        </w:rPr>
        <w:t xml:space="preserve"> </w:t>
      </w:r>
      <w:r>
        <w:rPr>
          <w:sz w:val="24"/>
        </w:rPr>
        <w:t>the</w:t>
      </w:r>
      <w:r>
        <w:rPr>
          <w:spacing w:val="-7"/>
          <w:sz w:val="24"/>
        </w:rPr>
        <w:t xml:space="preserve"> </w:t>
      </w:r>
      <w:r>
        <w:rPr>
          <w:sz w:val="24"/>
        </w:rPr>
        <w:t>General</w:t>
      </w:r>
      <w:r>
        <w:rPr>
          <w:spacing w:val="-8"/>
          <w:sz w:val="24"/>
        </w:rPr>
        <w:t xml:space="preserve"> </w:t>
      </w:r>
      <w:r>
        <w:rPr>
          <w:sz w:val="24"/>
        </w:rPr>
        <w:t>Comment</w:t>
      </w:r>
      <w:r>
        <w:rPr>
          <w:spacing w:val="-7"/>
          <w:sz w:val="24"/>
        </w:rPr>
        <w:t xml:space="preserve"> </w:t>
      </w:r>
      <w:r>
        <w:rPr>
          <w:sz w:val="24"/>
        </w:rPr>
        <w:t>5</w:t>
      </w:r>
      <w:r>
        <w:rPr>
          <w:spacing w:val="-7"/>
          <w:sz w:val="24"/>
        </w:rPr>
        <w:t xml:space="preserve"> </w:t>
      </w:r>
      <w:r>
        <w:rPr>
          <w:sz w:val="24"/>
        </w:rPr>
        <w:t>states,</w:t>
      </w:r>
      <w:r>
        <w:rPr>
          <w:spacing w:val="-7"/>
          <w:sz w:val="24"/>
        </w:rPr>
        <w:t xml:space="preserve"> </w:t>
      </w:r>
      <w:r>
        <w:rPr>
          <w:sz w:val="24"/>
        </w:rPr>
        <w:t>in</w:t>
      </w:r>
      <w:r>
        <w:rPr>
          <w:spacing w:val="-7"/>
          <w:sz w:val="24"/>
        </w:rPr>
        <w:t xml:space="preserve"> </w:t>
      </w:r>
      <w:r>
        <w:rPr>
          <w:sz w:val="24"/>
        </w:rPr>
        <w:t>para</w:t>
      </w:r>
      <w:r>
        <w:rPr>
          <w:spacing w:val="-8"/>
          <w:sz w:val="24"/>
        </w:rPr>
        <w:t xml:space="preserve"> </w:t>
      </w:r>
      <w:r>
        <w:rPr>
          <w:sz w:val="24"/>
        </w:rPr>
        <w:t>16c</w:t>
      </w:r>
      <w:r>
        <w:rPr>
          <w:spacing w:val="-8"/>
          <w:sz w:val="24"/>
        </w:rPr>
        <w:t xml:space="preserve"> </w:t>
      </w:r>
      <w:r>
        <w:rPr>
          <w:sz w:val="24"/>
        </w:rPr>
        <w:t>that</w:t>
      </w:r>
      <w:r>
        <w:rPr>
          <w:spacing w:val="-7"/>
          <w:sz w:val="24"/>
        </w:rPr>
        <w:t xml:space="preserve"> </w:t>
      </w:r>
      <w:r>
        <w:rPr>
          <w:sz w:val="24"/>
        </w:rPr>
        <w:t>“</w:t>
      </w:r>
      <w:r>
        <w:rPr>
          <w:rFonts w:ascii="Arial" w:hAnsi="Arial"/>
          <w:i/>
          <w:sz w:val="24"/>
        </w:rPr>
        <w:t>Both</w:t>
      </w:r>
      <w:r>
        <w:rPr>
          <w:rFonts w:ascii="Arial" w:hAnsi="Arial"/>
          <w:i/>
          <w:spacing w:val="-7"/>
          <w:sz w:val="24"/>
        </w:rPr>
        <w:t xml:space="preserve"> </w:t>
      </w:r>
      <w:r>
        <w:rPr>
          <w:rFonts w:ascii="Arial" w:hAnsi="Arial"/>
          <w:i/>
          <w:sz w:val="24"/>
        </w:rPr>
        <w:t>independent</w:t>
      </w:r>
      <w:r>
        <w:rPr>
          <w:rFonts w:ascii="Arial" w:hAnsi="Arial"/>
          <w:i/>
          <w:spacing w:val="-7"/>
          <w:sz w:val="24"/>
        </w:rPr>
        <w:t xml:space="preserve"> </w:t>
      </w:r>
      <w:r>
        <w:rPr>
          <w:rFonts w:ascii="Arial" w:hAnsi="Arial"/>
          <w:i/>
          <w:sz w:val="24"/>
        </w:rPr>
        <w:t>living and being included in the community refer to life settings outside residential institutions of</w:t>
      </w:r>
      <w:r>
        <w:rPr>
          <w:rFonts w:ascii="Arial" w:hAnsi="Arial"/>
          <w:i/>
          <w:spacing w:val="-15"/>
          <w:sz w:val="24"/>
        </w:rPr>
        <w:t xml:space="preserve"> </w:t>
      </w:r>
      <w:r>
        <w:rPr>
          <w:rFonts w:ascii="Arial" w:hAnsi="Arial"/>
          <w:i/>
          <w:sz w:val="24"/>
        </w:rPr>
        <w:t>all</w:t>
      </w:r>
      <w:r>
        <w:rPr>
          <w:rFonts w:ascii="Arial" w:hAnsi="Arial"/>
          <w:i/>
          <w:spacing w:val="-16"/>
          <w:sz w:val="24"/>
        </w:rPr>
        <w:t xml:space="preserve"> </w:t>
      </w:r>
      <w:r>
        <w:rPr>
          <w:rFonts w:ascii="Arial" w:hAnsi="Arial"/>
          <w:i/>
          <w:sz w:val="24"/>
        </w:rPr>
        <w:t>kinds.</w:t>
      </w:r>
      <w:r>
        <w:rPr>
          <w:sz w:val="24"/>
        </w:rPr>
        <w:t>”</w:t>
      </w:r>
      <w:r>
        <w:rPr>
          <w:spacing w:val="-16"/>
          <w:sz w:val="24"/>
        </w:rPr>
        <w:t xml:space="preserve"> </w:t>
      </w:r>
      <w:r>
        <w:rPr>
          <w:sz w:val="24"/>
        </w:rPr>
        <w:t>Institutions</w:t>
      </w:r>
      <w:r>
        <w:rPr>
          <w:spacing w:val="-15"/>
          <w:sz w:val="24"/>
        </w:rPr>
        <w:t xml:space="preserve"> </w:t>
      </w:r>
      <w:r>
        <w:rPr>
          <w:sz w:val="24"/>
        </w:rPr>
        <w:t>cannot,</w:t>
      </w:r>
      <w:r>
        <w:rPr>
          <w:spacing w:val="-14"/>
          <w:sz w:val="24"/>
        </w:rPr>
        <w:t xml:space="preserve"> </w:t>
      </w:r>
      <w:r>
        <w:rPr>
          <w:sz w:val="24"/>
        </w:rPr>
        <w:t>therefore,</w:t>
      </w:r>
      <w:r>
        <w:rPr>
          <w:spacing w:val="-14"/>
          <w:sz w:val="24"/>
        </w:rPr>
        <w:t xml:space="preserve"> </w:t>
      </w:r>
      <w:r>
        <w:rPr>
          <w:sz w:val="24"/>
        </w:rPr>
        <w:t>be</w:t>
      </w:r>
      <w:r>
        <w:rPr>
          <w:spacing w:val="-17"/>
          <w:sz w:val="24"/>
        </w:rPr>
        <w:t xml:space="preserve"> </w:t>
      </w:r>
      <w:r>
        <w:rPr>
          <w:sz w:val="24"/>
        </w:rPr>
        <w:t>compliant</w:t>
      </w:r>
      <w:r>
        <w:rPr>
          <w:spacing w:val="-14"/>
          <w:sz w:val="24"/>
        </w:rPr>
        <w:t xml:space="preserve"> </w:t>
      </w:r>
      <w:r>
        <w:rPr>
          <w:sz w:val="24"/>
        </w:rPr>
        <w:t>with</w:t>
      </w:r>
      <w:r>
        <w:rPr>
          <w:spacing w:val="-14"/>
          <w:sz w:val="24"/>
        </w:rPr>
        <w:t xml:space="preserve"> </w:t>
      </w:r>
      <w:r>
        <w:rPr>
          <w:sz w:val="24"/>
        </w:rPr>
        <w:t>the</w:t>
      </w:r>
      <w:r>
        <w:rPr>
          <w:spacing w:val="-17"/>
          <w:sz w:val="24"/>
        </w:rPr>
        <w:t xml:space="preserve"> </w:t>
      </w:r>
      <w:r>
        <w:rPr>
          <w:sz w:val="24"/>
        </w:rPr>
        <w:t>principles</w:t>
      </w:r>
      <w:r>
        <w:rPr>
          <w:spacing w:val="-15"/>
          <w:sz w:val="24"/>
        </w:rPr>
        <w:t xml:space="preserve"> </w:t>
      </w:r>
      <w:r>
        <w:rPr>
          <w:sz w:val="24"/>
        </w:rPr>
        <w:t>of</w:t>
      </w:r>
      <w:r>
        <w:rPr>
          <w:spacing w:val="-14"/>
          <w:sz w:val="24"/>
        </w:rPr>
        <w:t xml:space="preserve"> </w:t>
      </w:r>
      <w:r>
        <w:rPr>
          <w:sz w:val="24"/>
        </w:rPr>
        <w:t xml:space="preserve">independent </w:t>
      </w:r>
      <w:r>
        <w:rPr>
          <w:spacing w:val="-2"/>
          <w:sz w:val="24"/>
        </w:rPr>
        <w:t>living.</w:t>
      </w:r>
    </w:p>
    <w:p w14:paraId="1A6C0350" w14:textId="77777777" w:rsidR="00161C10" w:rsidRDefault="00CE2C8C">
      <w:pPr>
        <w:pStyle w:val="BodyText"/>
        <w:spacing w:before="121" w:line="273" w:lineRule="auto"/>
        <w:ind w:left="360" w:right="355"/>
        <w:jc w:val="both"/>
        <w:rPr>
          <w:position w:val="8"/>
          <w:sz w:val="16"/>
        </w:rPr>
      </w:pPr>
      <w:r>
        <w:t xml:space="preserve">We are, however, in agreement with the EU statement that the RRF has been used to fund institutions in the MS. The RRF does not include any conditions linked to the UNCRPD or the EU Charter on Fundamental Rights. Notably, the </w:t>
      </w:r>
      <w:hyperlink r:id="rId85">
        <w:r>
          <w:rPr>
            <w:color w:val="1154CC"/>
            <w:u w:val="single" w:color="1154CC"/>
          </w:rPr>
          <w:t>European Court of</w:t>
        </w:r>
      </w:hyperlink>
      <w:r>
        <w:rPr>
          <w:color w:val="1154CC"/>
        </w:rPr>
        <w:t xml:space="preserve"> </w:t>
      </w:r>
      <w:hyperlink r:id="rId86">
        <w:r>
          <w:rPr>
            <w:color w:val="1154CC"/>
            <w:u w:val="single" w:color="1154CC"/>
          </w:rPr>
          <w:t>Auditors</w:t>
        </w:r>
      </w:hyperlink>
      <w:r>
        <w:rPr>
          <w:color w:val="1154CC"/>
          <w:u w:val="single" w:color="1154CC"/>
        </w:rPr>
        <w:t xml:space="preserve"> </w:t>
      </w:r>
      <w:r>
        <w:t>has raised the alarm about the lack of transparency in the investments.</w:t>
      </w:r>
      <w:hyperlink w:anchor="_bookmark10" w:history="1">
        <w:r>
          <w:rPr>
            <w:position w:val="8"/>
            <w:sz w:val="16"/>
          </w:rPr>
          <w:t>11</w:t>
        </w:r>
      </w:hyperlink>
    </w:p>
    <w:p w14:paraId="3CC7E07D" w14:textId="77777777" w:rsidR="00161C10" w:rsidRDefault="00CE2C8C">
      <w:pPr>
        <w:pStyle w:val="BodyText"/>
        <w:spacing w:before="126" w:line="276" w:lineRule="auto"/>
        <w:ind w:left="360" w:right="351"/>
        <w:jc w:val="both"/>
      </w:pPr>
      <w:r>
        <w:t xml:space="preserve">Despite this lack of transparency and the difficulties in monitoring how RRF is used, we have been alerted by </w:t>
      </w:r>
      <w:proofErr w:type="gramStart"/>
      <w:r>
        <w:t>a number of</w:t>
      </w:r>
      <w:proofErr w:type="gramEnd"/>
      <w:r>
        <w:t xml:space="preserve"> ENIL members about specific investments into institutions, which they mostly learn from local news. As an example, an in</w:t>
      </w:r>
      <w:hyperlink r:id="rId87">
        <w:r>
          <w:rPr>
            <w:color w:val="1154CC"/>
            <w:u w:val="single" w:color="1154CC"/>
          </w:rPr>
          <w:t>vestment of</w:t>
        </w:r>
      </w:hyperlink>
      <w:r>
        <w:rPr>
          <w:color w:val="1154CC"/>
        </w:rPr>
        <w:t xml:space="preserve"> </w:t>
      </w:r>
      <w:hyperlink r:id="rId88">
        <w:r>
          <w:rPr>
            <w:color w:val="1154CC"/>
            <w:u w:val="single" w:color="1154CC"/>
          </w:rPr>
          <w:t>almost 16 million euros</w:t>
        </w:r>
      </w:hyperlink>
      <w:r>
        <w:rPr>
          <w:color w:val="1154CC"/>
        </w:rPr>
        <w:t xml:space="preserve"> </w:t>
      </w:r>
      <w:r>
        <w:t>was approved for the building of 15 institutions and day-care centers for older and for disabled people in the Spanish region of Malaga. In Bulgaria, RRF will be used to fund 250 new long-term care facilities - 125 for residential care and 125</w:t>
      </w:r>
      <w:r>
        <w:rPr>
          <w:spacing w:val="-11"/>
        </w:rPr>
        <w:t xml:space="preserve"> </w:t>
      </w:r>
      <w:r>
        <w:t>for</w:t>
      </w:r>
      <w:r>
        <w:rPr>
          <w:spacing w:val="-10"/>
        </w:rPr>
        <w:t xml:space="preserve"> </w:t>
      </w:r>
      <w:r>
        <w:t>day</w:t>
      </w:r>
      <w:r>
        <w:rPr>
          <w:spacing w:val="-9"/>
        </w:rPr>
        <w:t xml:space="preserve"> </w:t>
      </w:r>
      <w:r>
        <w:t>care,</w:t>
      </w:r>
      <w:r>
        <w:rPr>
          <w:spacing w:val="-11"/>
        </w:rPr>
        <w:t xml:space="preserve"> </w:t>
      </w:r>
      <w:r>
        <w:t>for</w:t>
      </w:r>
      <w:r>
        <w:rPr>
          <w:spacing w:val="-10"/>
        </w:rPr>
        <w:t xml:space="preserve"> </w:t>
      </w:r>
      <w:r>
        <w:t>disabled</w:t>
      </w:r>
      <w:r>
        <w:rPr>
          <w:spacing w:val="-10"/>
        </w:rPr>
        <w:t xml:space="preserve"> </w:t>
      </w:r>
      <w:r>
        <w:t>people;</w:t>
      </w:r>
      <w:r>
        <w:rPr>
          <w:spacing w:val="-11"/>
        </w:rPr>
        <w:t xml:space="preserve"> </w:t>
      </w:r>
      <w:r>
        <w:t>the</w:t>
      </w:r>
      <w:r>
        <w:rPr>
          <w:spacing w:val="-11"/>
        </w:rPr>
        <w:t xml:space="preserve"> </w:t>
      </w:r>
      <w:r>
        <w:t>renovation</w:t>
      </w:r>
      <w:r>
        <w:rPr>
          <w:spacing w:val="-8"/>
        </w:rPr>
        <w:t xml:space="preserve"> </w:t>
      </w:r>
      <w:r>
        <w:t>of</w:t>
      </w:r>
      <w:r>
        <w:rPr>
          <w:spacing w:val="-11"/>
        </w:rPr>
        <w:t xml:space="preserve"> </w:t>
      </w:r>
      <w:r>
        <w:t>82</w:t>
      </w:r>
      <w:r>
        <w:rPr>
          <w:spacing w:val="-11"/>
        </w:rPr>
        <w:t xml:space="preserve"> </w:t>
      </w:r>
      <w:r>
        <w:t>existing</w:t>
      </w:r>
      <w:r>
        <w:rPr>
          <w:spacing w:val="-10"/>
        </w:rPr>
        <w:t xml:space="preserve"> </w:t>
      </w:r>
      <w:r>
        <w:t>facilities</w:t>
      </w:r>
      <w:r>
        <w:rPr>
          <w:spacing w:val="-9"/>
        </w:rPr>
        <w:t xml:space="preserve"> </w:t>
      </w:r>
      <w:r>
        <w:t>for</w:t>
      </w:r>
      <w:r>
        <w:rPr>
          <w:spacing w:val="-10"/>
        </w:rPr>
        <w:t xml:space="preserve"> </w:t>
      </w:r>
      <w:r>
        <w:t>residential care</w:t>
      </w:r>
      <w:r>
        <w:rPr>
          <w:spacing w:val="-9"/>
        </w:rPr>
        <w:t xml:space="preserve"> </w:t>
      </w:r>
      <w:r>
        <w:t>for</w:t>
      </w:r>
      <w:r>
        <w:rPr>
          <w:spacing w:val="-10"/>
        </w:rPr>
        <w:t xml:space="preserve"> </w:t>
      </w:r>
      <w:r>
        <w:t>older</w:t>
      </w:r>
      <w:r>
        <w:rPr>
          <w:spacing w:val="-10"/>
        </w:rPr>
        <w:t xml:space="preserve"> </w:t>
      </w:r>
      <w:r>
        <w:t>people;</w:t>
      </w:r>
      <w:r>
        <w:rPr>
          <w:spacing w:val="-8"/>
        </w:rPr>
        <w:t xml:space="preserve"> </w:t>
      </w:r>
      <w:r>
        <w:t>energy</w:t>
      </w:r>
      <w:r>
        <w:rPr>
          <w:spacing w:val="-9"/>
        </w:rPr>
        <w:t xml:space="preserve"> </w:t>
      </w:r>
      <w:r>
        <w:t>efficiency</w:t>
      </w:r>
      <w:r>
        <w:rPr>
          <w:spacing w:val="-9"/>
        </w:rPr>
        <w:t xml:space="preserve"> </w:t>
      </w:r>
      <w:r>
        <w:t>renovations</w:t>
      </w:r>
      <w:r>
        <w:rPr>
          <w:spacing w:val="-9"/>
        </w:rPr>
        <w:t xml:space="preserve"> </w:t>
      </w:r>
      <w:r>
        <w:t>of</w:t>
      </w:r>
      <w:r>
        <w:rPr>
          <w:spacing w:val="-11"/>
        </w:rPr>
        <w:t xml:space="preserve"> </w:t>
      </w:r>
      <w:r>
        <w:t>840</w:t>
      </w:r>
      <w:r>
        <w:rPr>
          <w:spacing w:val="-8"/>
        </w:rPr>
        <w:t xml:space="preserve"> </w:t>
      </w:r>
      <w:r>
        <w:t>facilities</w:t>
      </w:r>
      <w:r>
        <w:rPr>
          <w:spacing w:val="-9"/>
        </w:rPr>
        <w:t xml:space="preserve"> </w:t>
      </w:r>
      <w:r>
        <w:t>for</w:t>
      </w:r>
      <w:r>
        <w:rPr>
          <w:spacing w:val="-10"/>
        </w:rPr>
        <w:t xml:space="preserve"> </w:t>
      </w:r>
      <w:r>
        <w:t>social</w:t>
      </w:r>
      <w:r>
        <w:rPr>
          <w:spacing w:val="-9"/>
        </w:rPr>
        <w:t xml:space="preserve"> </w:t>
      </w:r>
      <w:r>
        <w:t>services;</w:t>
      </w:r>
      <w:r>
        <w:rPr>
          <w:spacing w:val="-9"/>
        </w:rPr>
        <w:t xml:space="preserve"> </w:t>
      </w:r>
      <w:r>
        <w:t>all by</w:t>
      </w:r>
      <w:r>
        <w:rPr>
          <w:spacing w:val="75"/>
        </w:rPr>
        <w:t xml:space="preserve"> </w:t>
      </w:r>
      <w:r>
        <w:t>30</w:t>
      </w:r>
      <w:r>
        <w:rPr>
          <w:spacing w:val="73"/>
        </w:rPr>
        <w:t xml:space="preserve"> </w:t>
      </w:r>
      <w:r>
        <w:t>June</w:t>
      </w:r>
      <w:r>
        <w:rPr>
          <w:spacing w:val="73"/>
        </w:rPr>
        <w:t xml:space="preserve"> </w:t>
      </w:r>
      <w:r>
        <w:t>2026.</w:t>
      </w:r>
      <w:r>
        <w:rPr>
          <w:spacing w:val="75"/>
        </w:rPr>
        <w:t xml:space="preserve"> </w:t>
      </w:r>
      <w:r>
        <w:t>This</w:t>
      </w:r>
      <w:r>
        <w:rPr>
          <w:spacing w:val="74"/>
        </w:rPr>
        <w:t xml:space="preserve"> </w:t>
      </w:r>
      <w:r>
        <w:t>is</w:t>
      </w:r>
      <w:r>
        <w:rPr>
          <w:spacing w:val="74"/>
        </w:rPr>
        <w:t xml:space="preserve"> </w:t>
      </w:r>
      <w:r>
        <w:t>described</w:t>
      </w:r>
      <w:r>
        <w:rPr>
          <w:spacing w:val="73"/>
        </w:rPr>
        <w:t xml:space="preserve"> </w:t>
      </w:r>
      <w:r>
        <w:t>as</w:t>
      </w:r>
      <w:r>
        <w:rPr>
          <w:spacing w:val="75"/>
        </w:rPr>
        <w:t xml:space="preserve"> </w:t>
      </w:r>
      <w:r>
        <w:t>“</w:t>
      </w:r>
      <w:proofErr w:type="spellStart"/>
      <w:r>
        <w:t>modernisation</w:t>
      </w:r>
      <w:proofErr w:type="spellEnd"/>
      <w:r>
        <w:rPr>
          <w:spacing w:val="73"/>
        </w:rPr>
        <w:t xml:space="preserve"> </w:t>
      </w:r>
      <w:r>
        <w:t>of</w:t>
      </w:r>
      <w:r>
        <w:rPr>
          <w:spacing w:val="75"/>
        </w:rPr>
        <w:t xml:space="preserve"> </w:t>
      </w:r>
      <w:r>
        <w:t>long-term</w:t>
      </w:r>
      <w:r>
        <w:rPr>
          <w:spacing w:val="76"/>
        </w:rPr>
        <w:t xml:space="preserve"> </w:t>
      </w:r>
      <w:r>
        <w:t>care”</w:t>
      </w:r>
      <w:r>
        <w:rPr>
          <w:spacing w:val="72"/>
        </w:rPr>
        <w:t xml:space="preserve"> </w:t>
      </w:r>
      <w:r>
        <w:t>by</w:t>
      </w:r>
      <w:r>
        <w:rPr>
          <w:spacing w:val="75"/>
        </w:rPr>
        <w:t xml:space="preserve"> </w:t>
      </w:r>
      <w:r>
        <w:t>the</w:t>
      </w:r>
    </w:p>
    <w:p w14:paraId="5AFBFFBD" w14:textId="77777777" w:rsidR="00161C10" w:rsidRDefault="00161C10">
      <w:pPr>
        <w:pStyle w:val="BodyText"/>
        <w:rPr>
          <w:sz w:val="20"/>
        </w:rPr>
      </w:pPr>
    </w:p>
    <w:p w14:paraId="108ED7D2" w14:textId="77777777" w:rsidR="00161C10" w:rsidRDefault="00161C10">
      <w:pPr>
        <w:pStyle w:val="BodyText"/>
        <w:rPr>
          <w:sz w:val="20"/>
        </w:rPr>
      </w:pPr>
    </w:p>
    <w:p w14:paraId="52FA44D1" w14:textId="77777777" w:rsidR="00161C10" w:rsidRDefault="00CE2C8C">
      <w:pPr>
        <w:pStyle w:val="BodyText"/>
        <w:spacing w:before="116"/>
        <w:rPr>
          <w:sz w:val="20"/>
        </w:rPr>
      </w:pPr>
      <w:r>
        <w:rPr>
          <w:noProof/>
          <w:sz w:val="20"/>
        </w:rPr>
        <mc:AlternateContent>
          <mc:Choice Requires="wps">
            <w:drawing>
              <wp:anchor distT="0" distB="0" distL="0" distR="0" simplePos="0" relativeHeight="487599616" behindDoc="1" locked="0" layoutInCell="1" allowOverlap="1" wp14:anchorId="7544FE4E" wp14:editId="72DCEAB2">
                <wp:simplePos x="0" y="0"/>
                <wp:positionH relativeFrom="page">
                  <wp:posOffset>914704</wp:posOffset>
                </wp:positionH>
                <wp:positionV relativeFrom="paragraph">
                  <wp:posOffset>235113</wp:posOffset>
                </wp:positionV>
                <wp:extent cx="1829435" cy="762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498654" id="Graphic 34" o:spid="_x0000_s1026" style="position:absolute;margin-left:1in;margin-top:18.5pt;width:144.05pt;height:.6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" path="m1829054,l,,,7619r1829054,l1829054,xe" fillcolor="black" stroked="f">
                <v:path arrowok="t"/>
                <w10:wrap type="topAndBottom" anchorx="page"/>
              </v:shape>
            </w:pict>
          </mc:Fallback>
        </mc:AlternateContent>
      </w:r>
    </w:p>
    <w:p w14:paraId="662EE23C" w14:textId="77777777" w:rsidR="00161C10" w:rsidRDefault="00CE2C8C">
      <w:pPr>
        <w:spacing w:before="91"/>
        <w:ind w:left="360" w:right="807"/>
        <w:rPr>
          <w:sz w:val="20"/>
        </w:rPr>
      </w:pPr>
      <w:bookmarkStart w:id="9" w:name="_bookmark9"/>
      <w:bookmarkEnd w:id="9"/>
      <w:r>
        <w:rPr>
          <w:position w:val="6"/>
          <w:sz w:val="13"/>
        </w:rPr>
        <w:t>10</w:t>
      </w:r>
      <w:r>
        <w:rPr>
          <w:spacing w:val="14"/>
          <w:position w:val="6"/>
          <w:sz w:val="13"/>
        </w:rPr>
        <w:t xml:space="preserve"> </w:t>
      </w:r>
      <w:r>
        <w:rPr>
          <w:sz w:val="20"/>
        </w:rPr>
        <w:t>For</w:t>
      </w:r>
      <w:r>
        <w:rPr>
          <w:spacing w:val="-5"/>
          <w:sz w:val="20"/>
        </w:rPr>
        <w:t xml:space="preserve"> </w:t>
      </w:r>
      <w:r>
        <w:rPr>
          <w:sz w:val="20"/>
        </w:rPr>
        <w:t>further</w:t>
      </w:r>
      <w:r>
        <w:rPr>
          <w:spacing w:val="-4"/>
          <w:sz w:val="20"/>
        </w:rPr>
        <w:t xml:space="preserve"> </w:t>
      </w:r>
      <w:r>
        <w:rPr>
          <w:sz w:val="20"/>
        </w:rPr>
        <w:t>reading,</w:t>
      </w:r>
      <w:r>
        <w:rPr>
          <w:spacing w:val="-5"/>
          <w:sz w:val="20"/>
        </w:rPr>
        <w:t xml:space="preserve"> </w:t>
      </w:r>
      <w:r>
        <w:rPr>
          <w:sz w:val="20"/>
        </w:rPr>
        <w:t>see</w:t>
      </w:r>
      <w:r>
        <w:rPr>
          <w:spacing w:val="-4"/>
          <w:sz w:val="20"/>
        </w:rPr>
        <w:t xml:space="preserve"> </w:t>
      </w:r>
      <w:r>
        <w:rPr>
          <w:sz w:val="20"/>
        </w:rPr>
        <w:t>ENIL</w:t>
      </w:r>
      <w:r>
        <w:rPr>
          <w:spacing w:val="-5"/>
          <w:sz w:val="20"/>
        </w:rPr>
        <w:t xml:space="preserve"> </w:t>
      </w:r>
      <w:r>
        <w:rPr>
          <w:sz w:val="20"/>
        </w:rPr>
        <w:t>(2024).</w:t>
      </w:r>
      <w:r>
        <w:rPr>
          <w:spacing w:val="-1"/>
          <w:sz w:val="20"/>
        </w:rPr>
        <w:t xml:space="preserve"> </w:t>
      </w:r>
      <w:r>
        <w:rPr>
          <w:rFonts w:ascii="Arial"/>
          <w:i/>
          <w:sz w:val="20"/>
        </w:rPr>
        <w:t>Reimagining</w:t>
      </w:r>
      <w:r>
        <w:rPr>
          <w:rFonts w:ascii="Arial"/>
          <w:i/>
          <w:spacing w:val="-4"/>
          <w:sz w:val="20"/>
        </w:rPr>
        <w:t xml:space="preserve"> </w:t>
      </w:r>
      <w:r>
        <w:rPr>
          <w:rFonts w:ascii="Arial"/>
          <w:i/>
          <w:sz w:val="20"/>
        </w:rPr>
        <w:t>EU</w:t>
      </w:r>
      <w:r>
        <w:rPr>
          <w:rFonts w:ascii="Arial"/>
          <w:i/>
          <w:spacing w:val="-5"/>
          <w:sz w:val="20"/>
        </w:rPr>
        <w:t xml:space="preserve"> </w:t>
      </w:r>
      <w:r>
        <w:rPr>
          <w:rFonts w:ascii="Arial"/>
          <w:i/>
          <w:sz w:val="20"/>
        </w:rPr>
        <w:t>Funds:</w:t>
      </w:r>
      <w:r>
        <w:rPr>
          <w:rFonts w:ascii="Arial"/>
          <w:i/>
          <w:spacing w:val="-5"/>
          <w:sz w:val="20"/>
        </w:rPr>
        <w:t xml:space="preserve"> </w:t>
      </w:r>
      <w:r>
        <w:rPr>
          <w:rFonts w:ascii="Arial"/>
          <w:i/>
          <w:sz w:val="20"/>
        </w:rPr>
        <w:t>Recommendations</w:t>
      </w:r>
      <w:r>
        <w:rPr>
          <w:rFonts w:ascii="Arial"/>
          <w:i/>
          <w:spacing w:val="-4"/>
          <w:sz w:val="20"/>
        </w:rPr>
        <w:t xml:space="preserve"> </w:t>
      </w:r>
      <w:r>
        <w:rPr>
          <w:rFonts w:ascii="Arial"/>
          <w:i/>
          <w:sz w:val="20"/>
        </w:rPr>
        <w:t>for</w:t>
      </w:r>
      <w:r>
        <w:rPr>
          <w:rFonts w:ascii="Arial"/>
          <w:i/>
          <w:spacing w:val="-4"/>
          <w:sz w:val="20"/>
        </w:rPr>
        <w:t xml:space="preserve"> </w:t>
      </w:r>
      <w:r>
        <w:rPr>
          <w:rFonts w:ascii="Arial"/>
          <w:i/>
          <w:sz w:val="20"/>
        </w:rPr>
        <w:t>the</w:t>
      </w:r>
      <w:r>
        <w:rPr>
          <w:rFonts w:ascii="Arial"/>
          <w:i/>
          <w:spacing w:val="-3"/>
          <w:sz w:val="20"/>
        </w:rPr>
        <w:t xml:space="preserve"> </w:t>
      </w:r>
      <w:r>
        <w:rPr>
          <w:rFonts w:ascii="Arial"/>
          <w:i/>
          <w:sz w:val="20"/>
        </w:rPr>
        <w:t>European Commission to promote independent living</w:t>
      </w:r>
      <w:r>
        <w:rPr>
          <w:sz w:val="20"/>
        </w:rPr>
        <w:t xml:space="preserve">. Available at https://enil.eu/wp- </w:t>
      </w:r>
      <w:r>
        <w:rPr>
          <w:spacing w:val="-2"/>
          <w:sz w:val="20"/>
        </w:rPr>
        <w:t>content/uploads/2025/01/Reimagining-EU-Funds-December-2024.docx</w:t>
      </w:r>
    </w:p>
    <w:p w14:paraId="2FAA0F9C" w14:textId="77777777" w:rsidR="00161C10" w:rsidRDefault="00CE2C8C">
      <w:pPr>
        <w:spacing w:before="1"/>
        <w:ind w:left="360"/>
        <w:rPr>
          <w:sz w:val="20"/>
        </w:rPr>
      </w:pPr>
      <w:bookmarkStart w:id="10" w:name="_bookmark10"/>
      <w:bookmarkEnd w:id="10"/>
      <w:r>
        <w:rPr>
          <w:position w:val="6"/>
          <w:sz w:val="13"/>
        </w:rPr>
        <w:t>11</w:t>
      </w:r>
      <w:r>
        <w:rPr>
          <w:spacing w:val="22"/>
          <w:position w:val="6"/>
          <w:sz w:val="13"/>
        </w:rPr>
        <w:t xml:space="preserve"> </w:t>
      </w:r>
      <w:r>
        <w:rPr>
          <w:sz w:val="20"/>
        </w:rPr>
        <w:t xml:space="preserve">European Court of Auditors (2023). </w:t>
      </w:r>
      <w:r>
        <w:rPr>
          <w:rFonts w:ascii="Arial" w:hAnsi="Arial"/>
          <w:i/>
          <w:sz w:val="20"/>
        </w:rPr>
        <w:t>Special report 26/2023: The Recovery and Resilience Facility’s performance monitoring framework – Measuring implementation progress but not sufficient to capture performance</w:t>
      </w:r>
      <w:r>
        <w:rPr>
          <w:sz w:val="20"/>
        </w:rPr>
        <w:t>,</w:t>
      </w:r>
      <w:r>
        <w:rPr>
          <w:spacing w:val="-3"/>
          <w:sz w:val="20"/>
        </w:rPr>
        <w:t xml:space="preserve"> </w:t>
      </w:r>
      <w:r>
        <w:rPr>
          <w:sz w:val="20"/>
        </w:rPr>
        <w:t>available</w:t>
      </w:r>
      <w:r>
        <w:rPr>
          <w:spacing w:val="-3"/>
          <w:sz w:val="20"/>
        </w:rPr>
        <w:t xml:space="preserve"> </w:t>
      </w:r>
      <w:r>
        <w:rPr>
          <w:sz w:val="20"/>
        </w:rPr>
        <w:t>at</w:t>
      </w:r>
      <w:r>
        <w:rPr>
          <w:spacing w:val="-2"/>
          <w:sz w:val="20"/>
        </w:rPr>
        <w:t xml:space="preserve"> </w:t>
      </w:r>
      <w:hyperlink r:id="rId89">
        <w:r>
          <w:rPr>
            <w:color w:val="1154CC"/>
            <w:sz w:val="20"/>
            <w:u w:val="single" w:color="1154CC"/>
          </w:rPr>
          <w:t>Special</w:t>
        </w:r>
        <w:r>
          <w:rPr>
            <w:color w:val="1154CC"/>
            <w:spacing w:val="-6"/>
            <w:sz w:val="20"/>
            <w:u w:val="single" w:color="1154CC"/>
          </w:rPr>
          <w:t xml:space="preserve"> </w:t>
        </w:r>
        <w:r>
          <w:rPr>
            <w:color w:val="1154CC"/>
            <w:sz w:val="20"/>
            <w:u w:val="single" w:color="1154CC"/>
          </w:rPr>
          <w:t>report</w:t>
        </w:r>
        <w:r>
          <w:rPr>
            <w:color w:val="1154CC"/>
            <w:spacing w:val="-5"/>
            <w:sz w:val="20"/>
            <w:u w:val="single" w:color="1154CC"/>
          </w:rPr>
          <w:t xml:space="preserve"> </w:t>
        </w:r>
        <w:r>
          <w:rPr>
            <w:color w:val="1154CC"/>
            <w:sz w:val="20"/>
            <w:u w:val="single" w:color="1154CC"/>
          </w:rPr>
          <w:t>26/2023:</w:t>
        </w:r>
        <w:r>
          <w:rPr>
            <w:color w:val="1154CC"/>
            <w:spacing w:val="-5"/>
            <w:sz w:val="20"/>
            <w:u w:val="single" w:color="1154CC"/>
          </w:rPr>
          <w:t xml:space="preserve"> </w:t>
        </w:r>
        <w:r>
          <w:rPr>
            <w:color w:val="1154CC"/>
            <w:sz w:val="20"/>
            <w:u w:val="single" w:color="1154CC"/>
          </w:rPr>
          <w:t>The</w:t>
        </w:r>
        <w:r>
          <w:rPr>
            <w:color w:val="1154CC"/>
            <w:spacing w:val="-4"/>
            <w:sz w:val="20"/>
            <w:u w:val="single" w:color="1154CC"/>
          </w:rPr>
          <w:t xml:space="preserve"> </w:t>
        </w:r>
        <w:r>
          <w:rPr>
            <w:color w:val="1154CC"/>
            <w:sz w:val="20"/>
            <w:u w:val="single" w:color="1154CC"/>
          </w:rPr>
          <w:t>Recovery</w:t>
        </w:r>
        <w:r>
          <w:rPr>
            <w:color w:val="1154CC"/>
            <w:spacing w:val="-3"/>
            <w:sz w:val="20"/>
            <w:u w:val="single" w:color="1154CC"/>
          </w:rPr>
          <w:t xml:space="preserve"> </w:t>
        </w:r>
        <w:r>
          <w:rPr>
            <w:color w:val="1154CC"/>
            <w:sz w:val="20"/>
            <w:u w:val="single" w:color="1154CC"/>
          </w:rPr>
          <w:t>and</w:t>
        </w:r>
        <w:r>
          <w:rPr>
            <w:color w:val="1154CC"/>
            <w:spacing w:val="-3"/>
            <w:sz w:val="20"/>
            <w:u w:val="single" w:color="1154CC"/>
          </w:rPr>
          <w:t xml:space="preserve"> </w:t>
        </w:r>
        <w:r>
          <w:rPr>
            <w:color w:val="1154CC"/>
            <w:sz w:val="20"/>
            <w:u w:val="single" w:color="1154CC"/>
          </w:rPr>
          <w:t>Resilience</w:t>
        </w:r>
        <w:r>
          <w:rPr>
            <w:color w:val="1154CC"/>
            <w:spacing w:val="-5"/>
            <w:sz w:val="20"/>
            <w:u w:val="single" w:color="1154CC"/>
          </w:rPr>
          <w:t xml:space="preserve"> </w:t>
        </w:r>
        <w:r>
          <w:rPr>
            <w:color w:val="1154CC"/>
            <w:sz w:val="20"/>
            <w:u w:val="single" w:color="1154CC"/>
          </w:rPr>
          <w:t>Facility’s</w:t>
        </w:r>
        <w:r>
          <w:rPr>
            <w:color w:val="1154CC"/>
            <w:spacing w:val="-4"/>
            <w:sz w:val="20"/>
            <w:u w:val="single" w:color="1154CC"/>
          </w:rPr>
          <w:t xml:space="preserve"> </w:t>
        </w:r>
        <w:r>
          <w:rPr>
            <w:color w:val="1154CC"/>
            <w:sz w:val="20"/>
            <w:u w:val="single" w:color="1154CC"/>
          </w:rPr>
          <w:t>performance</w:t>
        </w:r>
      </w:hyperlink>
      <w:r>
        <w:rPr>
          <w:color w:val="1154CC"/>
          <w:sz w:val="20"/>
        </w:rPr>
        <w:t xml:space="preserve"> </w:t>
      </w:r>
      <w:hyperlink r:id="rId90">
        <w:r>
          <w:rPr>
            <w:color w:val="1154CC"/>
            <w:sz w:val="20"/>
            <w:u w:val="single" w:color="1154CC"/>
          </w:rPr>
          <w:t>monitoring framework | European Court of Auditors (europa.eu)</w:t>
        </w:r>
      </w:hyperlink>
    </w:p>
    <w:p w14:paraId="2A259828" w14:textId="77777777" w:rsidR="00161C10" w:rsidRDefault="00161C10">
      <w:pPr>
        <w:rPr>
          <w:sz w:val="20"/>
        </w:rPr>
        <w:sectPr w:rsidR="00161C10">
          <w:pgSz w:w="12240" w:h="15840"/>
          <w:pgMar w:top="1360" w:right="1080" w:bottom="1460" w:left="1080" w:header="0" w:footer="1274" w:gutter="0"/>
          <w:cols w:space="720"/>
        </w:sectPr>
      </w:pPr>
    </w:p>
    <w:p w14:paraId="7F4B111E" w14:textId="77777777" w:rsidR="00161C10" w:rsidRDefault="00CE2C8C">
      <w:pPr>
        <w:pStyle w:val="BodyText"/>
        <w:spacing w:before="81" w:line="276" w:lineRule="auto"/>
        <w:ind w:left="360" w:right="377"/>
      </w:pPr>
      <w:hyperlink r:id="rId91">
        <w:r>
          <w:rPr>
            <w:color w:val="1154CC"/>
            <w:u w:val="single" w:color="1154CC"/>
          </w:rPr>
          <w:t>Commission</w:t>
        </w:r>
      </w:hyperlink>
      <w:r>
        <w:t xml:space="preserve">. In </w:t>
      </w:r>
      <w:hyperlink r:id="rId92">
        <w:r>
          <w:rPr>
            <w:color w:val="1154CC"/>
            <w:u w:val="single" w:color="1154CC"/>
          </w:rPr>
          <w:t>Croatia</w:t>
        </w:r>
      </w:hyperlink>
      <w:r>
        <w:t>, 8 new institutions for older people will be funded through RRF, with an amount of 49 mil Euros.</w:t>
      </w:r>
    </w:p>
    <w:p w14:paraId="7DDC9CE3" w14:textId="77777777" w:rsidR="00161C10" w:rsidRDefault="00CE2C8C">
      <w:pPr>
        <w:spacing w:before="118"/>
        <w:ind w:left="360"/>
        <w:rPr>
          <w:rFonts w:ascii="Arial" w:hAnsi="Arial"/>
          <w:b/>
          <w:i/>
          <w:sz w:val="24"/>
        </w:rPr>
      </w:pPr>
      <w:r>
        <w:rPr>
          <w:rFonts w:ascii="Arial" w:hAnsi="Arial"/>
          <w:b/>
          <w:i/>
          <w:sz w:val="24"/>
        </w:rPr>
        <w:t>ENIL’s</w:t>
      </w:r>
      <w:r>
        <w:rPr>
          <w:rFonts w:ascii="Arial" w:hAnsi="Arial"/>
          <w:b/>
          <w:i/>
          <w:spacing w:val="-2"/>
          <w:sz w:val="24"/>
        </w:rPr>
        <w:t xml:space="preserve"> proposal:</w:t>
      </w:r>
    </w:p>
    <w:p w14:paraId="137BAD60" w14:textId="77777777" w:rsidR="00161C10" w:rsidRDefault="00CE2C8C">
      <w:pPr>
        <w:pStyle w:val="BodyText"/>
        <w:spacing w:before="3"/>
        <w:rPr>
          <w:rFonts w:ascii="Arial"/>
          <w:b/>
          <w:i/>
          <w:sz w:val="12"/>
        </w:rPr>
      </w:pPr>
      <w:r>
        <w:rPr>
          <w:rFonts w:ascii="Arial"/>
          <w:b/>
          <w:i/>
          <w:noProof/>
          <w:sz w:val="12"/>
        </w:rPr>
        <mc:AlternateContent>
          <mc:Choice Requires="wps">
            <w:drawing>
              <wp:anchor distT="0" distB="0" distL="0" distR="0" simplePos="0" relativeHeight="487600128" behindDoc="1" locked="0" layoutInCell="1" allowOverlap="1" wp14:anchorId="2024B251" wp14:editId="3AD98672">
                <wp:simplePos x="0" y="0"/>
                <wp:positionH relativeFrom="page">
                  <wp:posOffset>843076</wp:posOffset>
                </wp:positionH>
                <wp:positionV relativeFrom="paragraph">
                  <wp:posOffset>108380</wp:posOffset>
                </wp:positionV>
                <wp:extent cx="6088380" cy="1036319"/>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1036319"/>
                        </a:xfrm>
                        <a:prstGeom prst="rect">
                          <a:avLst/>
                        </a:prstGeom>
                        <a:ln w="6095">
                          <a:solidFill>
                            <a:srgbClr val="000000"/>
                          </a:solidFill>
                          <a:prstDash val="solid"/>
                        </a:ln>
                      </wps:spPr>
                      <wps:txbx>
                        <w:txbxContent>
                          <w:p w14:paraId="4E491D57" w14:textId="77777777" w:rsidR="00161C10" w:rsidRDefault="00CE2C8C">
                            <w:pPr>
                              <w:spacing w:before="19" w:line="276" w:lineRule="auto"/>
                              <w:ind w:left="108" w:right="109"/>
                              <w:jc w:val="both"/>
                              <w:rPr>
                                <w:rFonts w:ascii="Arial"/>
                                <w:b/>
                                <w:sz w:val="24"/>
                              </w:rPr>
                            </w:pPr>
                            <w:r>
                              <w:rPr>
                                <w:rFonts w:ascii="Arial"/>
                                <w:b/>
                                <w:sz w:val="24"/>
                              </w:rPr>
                              <w:t>The</w:t>
                            </w:r>
                            <w:r>
                              <w:rPr>
                                <w:rFonts w:ascii="Arial"/>
                                <w:b/>
                                <w:spacing w:val="-4"/>
                                <w:sz w:val="24"/>
                              </w:rPr>
                              <w:t xml:space="preserve"> </w:t>
                            </w:r>
                            <w:r>
                              <w:rPr>
                                <w:rFonts w:ascii="Arial"/>
                                <w:b/>
                                <w:sz w:val="24"/>
                              </w:rPr>
                              <w:t>Committee</w:t>
                            </w:r>
                            <w:r>
                              <w:rPr>
                                <w:rFonts w:ascii="Arial"/>
                                <w:b/>
                                <w:spacing w:val="-4"/>
                                <w:sz w:val="24"/>
                              </w:rPr>
                              <w:t xml:space="preserve"> </w:t>
                            </w:r>
                            <w:r>
                              <w:rPr>
                                <w:rFonts w:ascii="Arial"/>
                                <w:b/>
                                <w:sz w:val="24"/>
                              </w:rPr>
                              <w:t>recommends</w:t>
                            </w:r>
                            <w:r>
                              <w:rPr>
                                <w:rFonts w:ascii="Arial"/>
                                <w:b/>
                                <w:spacing w:val="-4"/>
                                <w:sz w:val="24"/>
                              </w:rPr>
                              <w:t xml:space="preserve"> </w:t>
                            </w:r>
                            <w:r>
                              <w:rPr>
                                <w:rFonts w:ascii="Arial"/>
                                <w:b/>
                                <w:sz w:val="24"/>
                              </w:rPr>
                              <w:t>that</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European</w:t>
                            </w:r>
                            <w:r>
                              <w:rPr>
                                <w:rFonts w:ascii="Arial"/>
                                <w:b/>
                                <w:spacing w:val="-4"/>
                                <w:sz w:val="24"/>
                              </w:rPr>
                              <w:t xml:space="preserve"> </w:t>
                            </w:r>
                            <w:r>
                              <w:rPr>
                                <w:rFonts w:ascii="Arial"/>
                                <w:b/>
                                <w:sz w:val="24"/>
                              </w:rPr>
                              <w:t>Union</w:t>
                            </w:r>
                            <w:r>
                              <w:rPr>
                                <w:rFonts w:ascii="Arial"/>
                                <w:b/>
                                <w:spacing w:val="-4"/>
                                <w:sz w:val="24"/>
                              </w:rPr>
                              <w:t xml:space="preserve"> </w:t>
                            </w:r>
                            <w:r>
                              <w:rPr>
                                <w:rFonts w:ascii="Arial"/>
                                <w:b/>
                                <w:sz w:val="24"/>
                              </w:rPr>
                              <w:t>puts</w:t>
                            </w:r>
                            <w:r>
                              <w:rPr>
                                <w:rFonts w:ascii="Arial"/>
                                <w:b/>
                                <w:spacing w:val="-4"/>
                                <w:sz w:val="24"/>
                              </w:rPr>
                              <w:t xml:space="preserve"> </w:t>
                            </w:r>
                            <w:r>
                              <w:rPr>
                                <w:rFonts w:ascii="Arial"/>
                                <w:b/>
                                <w:sz w:val="24"/>
                              </w:rPr>
                              <w:t>conditions</w:t>
                            </w:r>
                            <w:r>
                              <w:rPr>
                                <w:rFonts w:ascii="Arial"/>
                                <w:b/>
                                <w:spacing w:val="-4"/>
                                <w:sz w:val="24"/>
                              </w:rPr>
                              <w:t xml:space="preserve"> </w:t>
                            </w:r>
                            <w:r>
                              <w:rPr>
                                <w:rFonts w:ascii="Arial"/>
                                <w:b/>
                                <w:sz w:val="24"/>
                              </w:rPr>
                              <w:t>in</w:t>
                            </w:r>
                            <w:r>
                              <w:rPr>
                                <w:rFonts w:ascii="Arial"/>
                                <w:b/>
                                <w:spacing w:val="-4"/>
                                <w:sz w:val="24"/>
                              </w:rPr>
                              <w:t xml:space="preserve"> </w:t>
                            </w:r>
                            <w:r>
                              <w:rPr>
                                <w:rFonts w:ascii="Arial"/>
                                <w:b/>
                                <w:sz w:val="24"/>
                              </w:rPr>
                              <w:t>place,</w:t>
                            </w:r>
                            <w:r>
                              <w:rPr>
                                <w:rFonts w:ascii="Arial"/>
                                <w:b/>
                                <w:spacing w:val="-6"/>
                                <w:sz w:val="24"/>
                              </w:rPr>
                              <w:t xml:space="preserve"> </w:t>
                            </w:r>
                            <w:r>
                              <w:rPr>
                                <w:rFonts w:ascii="Arial"/>
                                <w:b/>
                                <w:sz w:val="24"/>
                              </w:rPr>
                              <w:t>as well as adequate monitoring systems, to ensure that any funding, including the Recovery</w:t>
                            </w:r>
                            <w:r>
                              <w:rPr>
                                <w:rFonts w:ascii="Arial"/>
                                <w:b/>
                                <w:spacing w:val="-13"/>
                                <w:sz w:val="24"/>
                              </w:rPr>
                              <w:t xml:space="preserve"> </w:t>
                            </w:r>
                            <w:r>
                              <w:rPr>
                                <w:rFonts w:ascii="Arial"/>
                                <w:b/>
                                <w:sz w:val="24"/>
                              </w:rPr>
                              <w:t>and</w:t>
                            </w:r>
                            <w:r>
                              <w:rPr>
                                <w:rFonts w:ascii="Arial"/>
                                <w:b/>
                                <w:spacing w:val="-16"/>
                                <w:sz w:val="24"/>
                              </w:rPr>
                              <w:t xml:space="preserve"> </w:t>
                            </w:r>
                            <w:r>
                              <w:rPr>
                                <w:rFonts w:ascii="Arial"/>
                                <w:b/>
                                <w:sz w:val="24"/>
                              </w:rPr>
                              <w:t>Resilience</w:t>
                            </w:r>
                            <w:r>
                              <w:rPr>
                                <w:rFonts w:ascii="Arial"/>
                                <w:b/>
                                <w:spacing w:val="-13"/>
                                <w:sz w:val="24"/>
                              </w:rPr>
                              <w:t xml:space="preserve"> </w:t>
                            </w:r>
                            <w:r>
                              <w:rPr>
                                <w:rFonts w:ascii="Arial"/>
                                <w:b/>
                                <w:sz w:val="24"/>
                              </w:rPr>
                              <w:t>Facility,</w:t>
                            </w:r>
                            <w:r>
                              <w:rPr>
                                <w:rFonts w:ascii="Arial"/>
                                <w:b/>
                                <w:spacing w:val="-13"/>
                                <w:sz w:val="24"/>
                              </w:rPr>
                              <w:t xml:space="preserve"> </w:t>
                            </w:r>
                            <w:r>
                              <w:rPr>
                                <w:rFonts w:ascii="Arial"/>
                                <w:b/>
                                <w:sz w:val="24"/>
                              </w:rPr>
                              <w:t>is</w:t>
                            </w:r>
                            <w:r>
                              <w:rPr>
                                <w:rFonts w:ascii="Arial"/>
                                <w:b/>
                                <w:spacing w:val="-13"/>
                                <w:sz w:val="24"/>
                              </w:rPr>
                              <w:t xml:space="preserve"> </w:t>
                            </w:r>
                            <w:r>
                              <w:rPr>
                                <w:rFonts w:ascii="Arial"/>
                                <w:b/>
                                <w:sz w:val="24"/>
                              </w:rPr>
                              <w:t>compliant</w:t>
                            </w:r>
                            <w:r>
                              <w:rPr>
                                <w:rFonts w:ascii="Arial"/>
                                <w:b/>
                                <w:spacing w:val="-15"/>
                                <w:sz w:val="24"/>
                              </w:rPr>
                              <w:t xml:space="preserve"> </w:t>
                            </w:r>
                            <w:r>
                              <w:rPr>
                                <w:rFonts w:ascii="Arial"/>
                                <w:b/>
                                <w:sz w:val="24"/>
                              </w:rPr>
                              <w:t>with</w:t>
                            </w:r>
                            <w:r>
                              <w:rPr>
                                <w:rFonts w:ascii="Arial"/>
                                <w:b/>
                                <w:spacing w:val="-14"/>
                                <w:sz w:val="24"/>
                              </w:rPr>
                              <w:t xml:space="preserve"> </w:t>
                            </w:r>
                            <w:r>
                              <w:rPr>
                                <w:rFonts w:ascii="Arial"/>
                                <w:b/>
                                <w:sz w:val="24"/>
                              </w:rPr>
                              <w:t>the</w:t>
                            </w:r>
                            <w:r>
                              <w:rPr>
                                <w:rFonts w:ascii="Arial"/>
                                <w:b/>
                                <w:spacing w:val="-13"/>
                                <w:sz w:val="24"/>
                              </w:rPr>
                              <w:t xml:space="preserve"> </w:t>
                            </w:r>
                            <w:r>
                              <w:rPr>
                                <w:rFonts w:ascii="Arial"/>
                                <w:b/>
                                <w:sz w:val="24"/>
                              </w:rPr>
                              <w:t>UNCRPD.</w:t>
                            </w:r>
                            <w:r>
                              <w:rPr>
                                <w:rFonts w:ascii="Arial"/>
                                <w:b/>
                                <w:spacing w:val="-14"/>
                                <w:sz w:val="24"/>
                              </w:rPr>
                              <w:t xml:space="preserve"> </w:t>
                            </w:r>
                            <w:r>
                              <w:rPr>
                                <w:rFonts w:ascii="Arial"/>
                                <w:b/>
                                <w:sz w:val="24"/>
                              </w:rPr>
                              <w:t>Regardless</w:t>
                            </w:r>
                            <w:r>
                              <w:rPr>
                                <w:rFonts w:ascii="Arial"/>
                                <w:b/>
                                <w:spacing w:val="-15"/>
                                <w:sz w:val="24"/>
                              </w:rPr>
                              <w:t xml:space="preserve"> </w:t>
                            </w:r>
                            <w:r>
                              <w:rPr>
                                <w:rFonts w:ascii="Arial"/>
                                <w:b/>
                                <w:sz w:val="24"/>
                              </w:rPr>
                              <w:t>of</w:t>
                            </w:r>
                            <w:r>
                              <w:rPr>
                                <w:rFonts w:ascii="Arial"/>
                                <w:b/>
                                <w:spacing w:val="-15"/>
                                <w:sz w:val="24"/>
                              </w:rPr>
                              <w:t xml:space="preserve"> </w:t>
                            </w:r>
                            <w:r>
                              <w:rPr>
                                <w:rFonts w:ascii="Arial"/>
                                <w:b/>
                                <w:sz w:val="24"/>
                              </w:rPr>
                              <w:t>the urgency or temporary nature of funding, the rights of disabled people and other groups must not be violated using EU funds.</w:t>
                            </w:r>
                          </w:p>
                        </w:txbxContent>
                      </wps:txbx>
                      <wps:bodyPr wrap="square" lIns="0" tIns="0" rIns="0" bIns="0" rtlCol="0">
                        <a:noAutofit/>
                      </wps:bodyPr>
                    </wps:wsp>
                  </a:graphicData>
                </a:graphic>
              </wp:anchor>
            </w:drawing>
          </mc:Choice>
          <mc:Fallback>
            <w:pict>
              <v:shape w14:anchorId="2024B251" id="Textbox 35" o:spid="_x0000_s1049" type="#_x0000_t202" style="position:absolute;margin-left:66.4pt;margin-top:8.55pt;width:479.4pt;height:81.6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" filled="f" strokeweight=".16931mm">
                <v:path arrowok="t"/>
                <v:textbox inset="0,0,0,0">
                  <w:txbxContent>
                    <w:p w14:paraId="4E491D57" w14:textId="77777777" w:rsidR="00161C10" w:rsidRDefault="00CE2C8C">
                      <w:pPr>
                        <w:spacing w:before="19" w:line="276" w:lineRule="auto"/>
                        <w:ind w:left="108" w:right="109"/>
                        <w:jc w:val="both"/>
                        <w:rPr>
                          <w:rFonts w:ascii="Arial"/>
                          <w:b/>
                          <w:sz w:val="24"/>
                        </w:rPr>
                      </w:pPr>
                      <w:r>
                        <w:rPr>
                          <w:rFonts w:ascii="Arial"/>
                          <w:b/>
                          <w:sz w:val="24"/>
                        </w:rPr>
                        <w:t>The</w:t>
                      </w:r>
                      <w:r>
                        <w:rPr>
                          <w:rFonts w:ascii="Arial"/>
                          <w:b/>
                          <w:spacing w:val="-4"/>
                          <w:sz w:val="24"/>
                        </w:rPr>
                        <w:t xml:space="preserve"> </w:t>
                      </w:r>
                      <w:r>
                        <w:rPr>
                          <w:rFonts w:ascii="Arial"/>
                          <w:b/>
                          <w:sz w:val="24"/>
                        </w:rPr>
                        <w:t>Committee</w:t>
                      </w:r>
                      <w:r>
                        <w:rPr>
                          <w:rFonts w:ascii="Arial"/>
                          <w:b/>
                          <w:spacing w:val="-4"/>
                          <w:sz w:val="24"/>
                        </w:rPr>
                        <w:t xml:space="preserve"> </w:t>
                      </w:r>
                      <w:r>
                        <w:rPr>
                          <w:rFonts w:ascii="Arial"/>
                          <w:b/>
                          <w:sz w:val="24"/>
                        </w:rPr>
                        <w:t>recommends</w:t>
                      </w:r>
                      <w:r>
                        <w:rPr>
                          <w:rFonts w:ascii="Arial"/>
                          <w:b/>
                          <w:spacing w:val="-4"/>
                          <w:sz w:val="24"/>
                        </w:rPr>
                        <w:t xml:space="preserve"> </w:t>
                      </w:r>
                      <w:r>
                        <w:rPr>
                          <w:rFonts w:ascii="Arial"/>
                          <w:b/>
                          <w:sz w:val="24"/>
                        </w:rPr>
                        <w:t>that</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European</w:t>
                      </w:r>
                      <w:r>
                        <w:rPr>
                          <w:rFonts w:ascii="Arial"/>
                          <w:b/>
                          <w:spacing w:val="-4"/>
                          <w:sz w:val="24"/>
                        </w:rPr>
                        <w:t xml:space="preserve"> </w:t>
                      </w:r>
                      <w:r>
                        <w:rPr>
                          <w:rFonts w:ascii="Arial"/>
                          <w:b/>
                          <w:sz w:val="24"/>
                        </w:rPr>
                        <w:t>Union</w:t>
                      </w:r>
                      <w:r>
                        <w:rPr>
                          <w:rFonts w:ascii="Arial"/>
                          <w:b/>
                          <w:spacing w:val="-4"/>
                          <w:sz w:val="24"/>
                        </w:rPr>
                        <w:t xml:space="preserve"> </w:t>
                      </w:r>
                      <w:r>
                        <w:rPr>
                          <w:rFonts w:ascii="Arial"/>
                          <w:b/>
                          <w:sz w:val="24"/>
                        </w:rPr>
                        <w:t>puts</w:t>
                      </w:r>
                      <w:r>
                        <w:rPr>
                          <w:rFonts w:ascii="Arial"/>
                          <w:b/>
                          <w:spacing w:val="-4"/>
                          <w:sz w:val="24"/>
                        </w:rPr>
                        <w:t xml:space="preserve"> </w:t>
                      </w:r>
                      <w:r>
                        <w:rPr>
                          <w:rFonts w:ascii="Arial"/>
                          <w:b/>
                          <w:sz w:val="24"/>
                        </w:rPr>
                        <w:t>conditions</w:t>
                      </w:r>
                      <w:r>
                        <w:rPr>
                          <w:rFonts w:ascii="Arial"/>
                          <w:b/>
                          <w:spacing w:val="-4"/>
                          <w:sz w:val="24"/>
                        </w:rPr>
                        <w:t xml:space="preserve"> </w:t>
                      </w:r>
                      <w:r>
                        <w:rPr>
                          <w:rFonts w:ascii="Arial"/>
                          <w:b/>
                          <w:sz w:val="24"/>
                        </w:rPr>
                        <w:t>in</w:t>
                      </w:r>
                      <w:r>
                        <w:rPr>
                          <w:rFonts w:ascii="Arial"/>
                          <w:b/>
                          <w:spacing w:val="-4"/>
                          <w:sz w:val="24"/>
                        </w:rPr>
                        <w:t xml:space="preserve"> </w:t>
                      </w:r>
                      <w:r>
                        <w:rPr>
                          <w:rFonts w:ascii="Arial"/>
                          <w:b/>
                          <w:sz w:val="24"/>
                        </w:rPr>
                        <w:t>place,</w:t>
                      </w:r>
                      <w:r>
                        <w:rPr>
                          <w:rFonts w:ascii="Arial"/>
                          <w:b/>
                          <w:spacing w:val="-6"/>
                          <w:sz w:val="24"/>
                        </w:rPr>
                        <w:t xml:space="preserve"> </w:t>
                      </w:r>
                      <w:r>
                        <w:rPr>
                          <w:rFonts w:ascii="Arial"/>
                          <w:b/>
                          <w:sz w:val="24"/>
                        </w:rPr>
                        <w:t>as well as adequate monitoring systems, to ensure that any funding, including the Recovery</w:t>
                      </w:r>
                      <w:r>
                        <w:rPr>
                          <w:rFonts w:ascii="Arial"/>
                          <w:b/>
                          <w:spacing w:val="-13"/>
                          <w:sz w:val="24"/>
                        </w:rPr>
                        <w:t xml:space="preserve"> </w:t>
                      </w:r>
                      <w:r>
                        <w:rPr>
                          <w:rFonts w:ascii="Arial"/>
                          <w:b/>
                          <w:sz w:val="24"/>
                        </w:rPr>
                        <w:t>and</w:t>
                      </w:r>
                      <w:r>
                        <w:rPr>
                          <w:rFonts w:ascii="Arial"/>
                          <w:b/>
                          <w:spacing w:val="-16"/>
                          <w:sz w:val="24"/>
                        </w:rPr>
                        <w:t xml:space="preserve"> </w:t>
                      </w:r>
                      <w:r>
                        <w:rPr>
                          <w:rFonts w:ascii="Arial"/>
                          <w:b/>
                          <w:sz w:val="24"/>
                        </w:rPr>
                        <w:t>Resilience</w:t>
                      </w:r>
                      <w:r>
                        <w:rPr>
                          <w:rFonts w:ascii="Arial"/>
                          <w:b/>
                          <w:spacing w:val="-13"/>
                          <w:sz w:val="24"/>
                        </w:rPr>
                        <w:t xml:space="preserve"> </w:t>
                      </w:r>
                      <w:r>
                        <w:rPr>
                          <w:rFonts w:ascii="Arial"/>
                          <w:b/>
                          <w:sz w:val="24"/>
                        </w:rPr>
                        <w:t>Facility,</w:t>
                      </w:r>
                      <w:r>
                        <w:rPr>
                          <w:rFonts w:ascii="Arial"/>
                          <w:b/>
                          <w:spacing w:val="-13"/>
                          <w:sz w:val="24"/>
                        </w:rPr>
                        <w:t xml:space="preserve"> </w:t>
                      </w:r>
                      <w:r>
                        <w:rPr>
                          <w:rFonts w:ascii="Arial"/>
                          <w:b/>
                          <w:sz w:val="24"/>
                        </w:rPr>
                        <w:t>is</w:t>
                      </w:r>
                      <w:r>
                        <w:rPr>
                          <w:rFonts w:ascii="Arial"/>
                          <w:b/>
                          <w:spacing w:val="-13"/>
                          <w:sz w:val="24"/>
                        </w:rPr>
                        <w:t xml:space="preserve"> </w:t>
                      </w:r>
                      <w:r>
                        <w:rPr>
                          <w:rFonts w:ascii="Arial"/>
                          <w:b/>
                          <w:sz w:val="24"/>
                        </w:rPr>
                        <w:t>compliant</w:t>
                      </w:r>
                      <w:r>
                        <w:rPr>
                          <w:rFonts w:ascii="Arial"/>
                          <w:b/>
                          <w:spacing w:val="-15"/>
                          <w:sz w:val="24"/>
                        </w:rPr>
                        <w:t xml:space="preserve"> </w:t>
                      </w:r>
                      <w:r>
                        <w:rPr>
                          <w:rFonts w:ascii="Arial"/>
                          <w:b/>
                          <w:sz w:val="24"/>
                        </w:rPr>
                        <w:t>with</w:t>
                      </w:r>
                      <w:r>
                        <w:rPr>
                          <w:rFonts w:ascii="Arial"/>
                          <w:b/>
                          <w:spacing w:val="-14"/>
                          <w:sz w:val="24"/>
                        </w:rPr>
                        <w:t xml:space="preserve"> </w:t>
                      </w:r>
                      <w:r>
                        <w:rPr>
                          <w:rFonts w:ascii="Arial"/>
                          <w:b/>
                          <w:sz w:val="24"/>
                        </w:rPr>
                        <w:t>the</w:t>
                      </w:r>
                      <w:r>
                        <w:rPr>
                          <w:rFonts w:ascii="Arial"/>
                          <w:b/>
                          <w:spacing w:val="-13"/>
                          <w:sz w:val="24"/>
                        </w:rPr>
                        <w:t xml:space="preserve"> </w:t>
                      </w:r>
                      <w:r>
                        <w:rPr>
                          <w:rFonts w:ascii="Arial"/>
                          <w:b/>
                          <w:sz w:val="24"/>
                        </w:rPr>
                        <w:t>UNCRPD.</w:t>
                      </w:r>
                      <w:r>
                        <w:rPr>
                          <w:rFonts w:ascii="Arial"/>
                          <w:b/>
                          <w:spacing w:val="-14"/>
                          <w:sz w:val="24"/>
                        </w:rPr>
                        <w:t xml:space="preserve"> </w:t>
                      </w:r>
                      <w:r>
                        <w:rPr>
                          <w:rFonts w:ascii="Arial"/>
                          <w:b/>
                          <w:sz w:val="24"/>
                        </w:rPr>
                        <w:t>Regardless</w:t>
                      </w:r>
                      <w:r>
                        <w:rPr>
                          <w:rFonts w:ascii="Arial"/>
                          <w:b/>
                          <w:spacing w:val="-15"/>
                          <w:sz w:val="24"/>
                        </w:rPr>
                        <w:t xml:space="preserve"> </w:t>
                      </w:r>
                      <w:r>
                        <w:rPr>
                          <w:rFonts w:ascii="Arial"/>
                          <w:b/>
                          <w:sz w:val="24"/>
                        </w:rPr>
                        <w:t>of</w:t>
                      </w:r>
                      <w:r>
                        <w:rPr>
                          <w:rFonts w:ascii="Arial"/>
                          <w:b/>
                          <w:spacing w:val="-15"/>
                          <w:sz w:val="24"/>
                        </w:rPr>
                        <w:t xml:space="preserve"> </w:t>
                      </w:r>
                      <w:r>
                        <w:rPr>
                          <w:rFonts w:ascii="Arial"/>
                          <w:b/>
                          <w:sz w:val="24"/>
                        </w:rPr>
                        <w:t>the urgency or temporary nature of funding, the rights of disabled people and other groups must not be violated using EU funds.</w:t>
                      </w:r>
                    </w:p>
                  </w:txbxContent>
                </v:textbox>
                <w10:wrap type="topAndBottom" anchorx="page"/>
              </v:shape>
            </w:pict>
          </mc:Fallback>
        </mc:AlternateContent>
      </w:r>
    </w:p>
    <w:p w14:paraId="0AB6E790" w14:textId="77777777" w:rsidR="00161C10" w:rsidRDefault="00CE2C8C">
      <w:pPr>
        <w:pStyle w:val="Heading4"/>
        <w:numPr>
          <w:ilvl w:val="0"/>
          <w:numId w:val="7"/>
        </w:numPr>
        <w:tabs>
          <w:tab w:val="left" w:pos="1072"/>
        </w:tabs>
        <w:spacing w:before="249"/>
        <w:ind w:left="1072" w:hanging="354"/>
      </w:pPr>
      <w:r>
        <w:t>Reply</w:t>
      </w:r>
      <w:r>
        <w:rPr>
          <w:spacing w:val="-2"/>
        </w:rPr>
        <w:t xml:space="preserve"> </w:t>
      </w:r>
      <w:r>
        <w:t>to</w:t>
      </w:r>
      <w:r>
        <w:rPr>
          <w:spacing w:val="-2"/>
        </w:rPr>
        <w:t xml:space="preserve"> </w:t>
      </w:r>
      <w:r>
        <w:t>the</w:t>
      </w:r>
      <w:r>
        <w:rPr>
          <w:spacing w:val="-1"/>
        </w:rPr>
        <w:t xml:space="preserve"> </w:t>
      </w:r>
      <w:r>
        <w:t>issues</w:t>
      </w:r>
      <w:r>
        <w:rPr>
          <w:spacing w:val="-2"/>
        </w:rPr>
        <w:t xml:space="preserve"> </w:t>
      </w:r>
      <w:r>
        <w:t>raised</w:t>
      </w:r>
      <w:r>
        <w:rPr>
          <w:spacing w:val="-5"/>
        </w:rPr>
        <w:t xml:space="preserve"> </w:t>
      </w:r>
      <w:r>
        <w:t>in</w:t>
      </w:r>
      <w:r>
        <w:rPr>
          <w:spacing w:val="-1"/>
        </w:rPr>
        <w:t xml:space="preserve"> </w:t>
      </w:r>
      <w:r>
        <w:t>paragraph</w:t>
      </w:r>
      <w:r>
        <w:rPr>
          <w:spacing w:val="-2"/>
        </w:rPr>
        <w:t xml:space="preserve"> </w:t>
      </w:r>
      <w:r>
        <w:t>21d</w:t>
      </w:r>
      <w:r>
        <w:rPr>
          <w:spacing w:val="-2"/>
        </w:rPr>
        <w:t xml:space="preserve"> </w:t>
      </w:r>
      <w:r>
        <w:t>of</w:t>
      </w:r>
      <w:r>
        <w:rPr>
          <w:spacing w:val="-1"/>
        </w:rPr>
        <w:t xml:space="preserve"> </w:t>
      </w:r>
      <w:r>
        <w:t>the</w:t>
      </w:r>
      <w:r>
        <w:rPr>
          <w:spacing w:val="-2"/>
        </w:rPr>
        <w:t xml:space="preserve"> </w:t>
      </w:r>
      <w:r>
        <w:t>list</w:t>
      </w:r>
      <w:r>
        <w:rPr>
          <w:spacing w:val="-2"/>
        </w:rPr>
        <w:t xml:space="preserve"> </w:t>
      </w:r>
      <w:r>
        <w:t>of</w:t>
      </w:r>
      <w:r>
        <w:rPr>
          <w:spacing w:val="-3"/>
        </w:rPr>
        <w:t xml:space="preserve"> </w:t>
      </w:r>
      <w:r>
        <w:rPr>
          <w:spacing w:val="-2"/>
        </w:rPr>
        <w:t>issues</w:t>
      </w:r>
    </w:p>
    <w:p w14:paraId="25DE2ED2" w14:textId="77777777" w:rsidR="00161C10" w:rsidRDefault="00CE2C8C">
      <w:pPr>
        <w:spacing w:before="159" w:line="276" w:lineRule="auto"/>
        <w:ind w:left="360" w:right="353"/>
        <w:jc w:val="both"/>
        <w:rPr>
          <w:rFonts w:ascii="Arial" w:hAnsi="Arial"/>
          <w:i/>
          <w:sz w:val="24"/>
        </w:rPr>
      </w:pPr>
      <w:r>
        <w:rPr>
          <w:rFonts w:ascii="Arial" w:hAnsi="Arial"/>
          <w:i/>
          <w:sz w:val="24"/>
        </w:rPr>
        <w:t>The European Union states that “The partnership principle is</w:t>
      </w:r>
      <w:r>
        <w:rPr>
          <w:rFonts w:ascii="Arial" w:hAnsi="Arial"/>
          <w:i/>
          <w:spacing w:val="-1"/>
          <w:sz w:val="24"/>
        </w:rPr>
        <w:t xml:space="preserve"> </w:t>
      </w:r>
      <w:r>
        <w:rPr>
          <w:rFonts w:ascii="Arial" w:hAnsi="Arial"/>
          <w:i/>
          <w:sz w:val="24"/>
        </w:rPr>
        <w:t>embedded in the cohesion policy regulations. The Code of Conduct on Partnership aims to enhance the possibility for</w:t>
      </w:r>
      <w:r>
        <w:rPr>
          <w:rFonts w:ascii="Arial" w:hAnsi="Arial"/>
          <w:i/>
          <w:spacing w:val="-16"/>
          <w:sz w:val="24"/>
        </w:rPr>
        <w:t xml:space="preserve"> </w:t>
      </w:r>
      <w:r>
        <w:rPr>
          <w:rFonts w:ascii="Arial" w:hAnsi="Arial"/>
          <w:i/>
          <w:sz w:val="24"/>
        </w:rPr>
        <w:t>diverse</w:t>
      </w:r>
      <w:r>
        <w:rPr>
          <w:rFonts w:ascii="Arial" w:hAnsi="Arial"/>
          <w:i/>
          <w:spacing w:val="-15"/>
          <w:sz w:val="24"/>
        </w:rPr>
        <w:t xml:space="preserve"> </w:t>
      </w:r>
      <w:r>
        <w:rPr>
          <w:rFonts w:ascii="Arial" w:hAnsi="Arial"/>
          <w:i/>
          <w:sz w:val="24"/>
        </w:rPr>
        <w:t>stakeholders</w:t>
      </w:r>
      <w:r>
        <w:rPr>
          <w:rFonts w:ascii="Arial" w:hAnsi="Arial"/>
          <w:i/>
          <w:spacing w:val="-15"/>
          <w:sz w:val="24"/>
        </w:rPr>
        <w:t xml:space="preserve"> </w:t>
      </w:r>
      <w:r>
        <w:rPr>
          <w:rFonts w:ascii="Arial" w:hAnsi="Arial"/>
          <w:i/>
          <w:sz w:val="24"/>
        </w:rPr>
        <w:t>to</w:t>
      </w:r>
      <w:r>
        <w:rPr>
          <w:rFonts w:ascii="Arial" w:hAnsi="Arial"/>
          <w:i/>
          <w:spacing w:val="-14"/>
          <w:sz w:val="24"/>
        </w:rPr>
        <w:t xml:space="preserve"> </w:t>
      </w:r>
      <w:r>
        <w:rPr>
          <w:rFonts w:ascii="Arial" w:hAnsi="Arial"/>
          <w:i/>
          <w:sz w:val="24"/>
        </w:rPr>
        <w:t>be</w:t>
      </w:r>
      <w:r>
        <w:rPr>
          <w:rFonts w:ascii="Arial" w:hAnsi="Arial"/>
          <w:i/>
          <w:spacing w:val="-14"/>
          <w:sz w:val="24"/>
        </w:rPr>
        <w:t xml:space="preserve"> </w:t>
      </w:r>
      <w:r>
        <w:rPr>
          <w:rFonts w:ascii="Arial" w:hAnsi="Arial"/>
          <w:i/>
          <w:sz w:val="24"/>
        </w:rPr>
        <w:t>involved</w:t>
      </w:r>
      <w:r>
        <w:rPr>
          <w:rFonts w:ascii="Arial" w:hAnsi="Arial"/>
          <w:i/>
          <w:spacing w:val="-14"/>
          <w:sz w:val="24"/>
        </w:rPr>
        <w:t xml:space="preserve"> </w:t>
      </w:r>
      <w:r>
        <w:rPr>
          <w:rFonts w:ascii="Arial" w:hAnsi="Arial"/>
          <w:i/>
          <w:sz w:val="24"/>
        </w:rPr>
        <w:t>in</w:t>
      </w:r>
      <w:r>
        <w:rPr>
          <w:rFonts w:ascii="Arial" w:hAnsi="Arial"/>
          <w:i/>
          <w:spacing w:val="-14"/>
          <w:sz w:val="24"/>
        </w:rPr>
        <w:t xml:space="preserve"> </w:t>
      </w:r>
      <w:r>
        <w:rPr>
          <w:rFonts w:ascii="Arial" w:hAnsi="Arial"/>
          <w:i/>
          <w:sz w:val="24"/>
        </w:rPr>
        <w:t>the</w:t>
      </w:r>
      <w:r>
        <w:rPr>
          <w:rFonts w:ascii="Arial" w:hAnsi="Arial"/>
          <w:i/>
          <w:spacing w:val="-17"/>
          <w:sz w:val="24"/>
        </w:rPr>
        <w:t xml:space="preserve"> </w:t>
      </w:r>
      <w:r>
        <w:rPr>
          <w:rFonts w:ascii="Arial" w:hAnsi="Arial"/>
          <w:i/>
          <w:sz w:val="24"/>
        </w:rPr>
        <w:t>preparation,</w:t>
      </w:r>
      <w:r>
        <w:rPr>
          <w:rFonts w:ascii="Arial" w:hAnsi="Arial"/>
          <w:i/>
          <w:spacing w:val="-14"/>
          <w:sz w:val="24"/>
        </w:rPr>
        <w:t xml:space="preserve"> </w:t>
      </w:r>
      <w:r>
        <w:rPr>
          <w:rFonts w:ascii="Arial" w:hAnsi="Arial"/>
          <w:i/>
          <w:sz w:val="24"/>
        </w:rPr>
        <w:t>implementation,</w:t>
      </w:r>
      <w:r>
        <w:rPr>
          <w:rFonts w:ascii="Arial" w:hAnsi="Arial"/>
          <w:i/>
          <w:spacing w:val="-14"/>
          <w:sz w:val="24"/>
        </w:rPr>
        <w:t xml:space="preserve"> </w:t>
      </w:r>
      <w:r>
        <w:rPr>
          <w:rFonts w:ascii="Arial" w:hAnsi="Arial"/>
          <w:i/>
          <w:sz w:val="24"/>
        </w:rPr>
        <w:t>and</w:t>
      </w:r>
      <w:r>
        <w:rPr>
          <w:rFonts w:ascii="Arial" w:hAnsi="Arial"/>
          <w:i/>
          <w:spacing w:val="-14"/>
          <w:sz w:val="24"/>
        </w:rPr>
        <w:t xml:space="preserve"> </w:t>
      </w:r>
      <w:r>
        <w:rPr>
          <w:rFonts w:ascii="Arial" w:hAnsi="Arial"/>
          <w:i/>
          <w:sz w:val="24"/>
        </w:rPr>
        <w:t xml:space="preserve">evaluation of </w:t>
      </w:r>
      <w:proofErr w:type="spellStart"/>
      <w:r>
        <w:rPr>
          <w:rFonts w:ascii="Arial" w:hAnsi="Arial"/>
          <w:i/>
          <w:sz w:val="24"/>
        </w:rPr>
        <w:t>programmes</w:t>
      </w:r>
      <w:proofErr w:type="spellEnd"/>
      <w:r>
        <w:rPr>
          <w:rFonts w:ascii="Arial" w:hAnsi="Arial"/>
          <w:i/>
          <w:sz w:val="24"/>
        </w:rPr>
        <w:t>, including by</w:t>
      </w:r>
      <w:r>
        <w:rPr>
          <w:rFonts w:ascii="Arial" w:hAnsi="Arial"/>
          <w:i/>
          <w:spacing w:val="-1"/>
          <w:sz w:val="24"/>
        </w:rPr>
        <w:t xml:space="preserve"> </w:t>
      </w:r>
      <w:r>
        <w:rPr>
          <w:rFonts w:ascii="Arial" w:hAnsi="Arial"/>
          <w:i/>
          <w:sz w:val="24"/>
        </w:rPr>
        <w:t>participating in monitoring committees</w:t>
      </w:r>
      <w:r>
        <w:rPr>
          <w:rFonts w:ascii="Arial" w:hAnsi="Arial"/>
          <w:i/>
          <w:spacing w:val="-3"/>
          <w:sz w:val="24"/>
        </w:rPr>
        <w:t xml:space="preserve"> </w:t>
      </w:r>
      <w:r>
        <w:rPr>
          <w:rFonts w:ascii="Arial" w:hAnsi="Arial"/>
          <w:i/>
          <w:sz w:val="24"/>
        </w:rPr>
        <w:t>(...). As</w:t>
      </w:r>
      <w:r>
        <w:rPr>
          <w:rFonts w:ascii="Arial" w:hAnsi="Arial"/>
          <w:i/>
          <w:spacing w:val="-1"/>
          <w:sz w:val="24"/>
        </w:rPr>
        <w:t xml:space="preserve"> </w:t>
      </w:r>
      <w:r>
        <w:rPr>
          <w:rFonts w:ascii="Arial" w:hAnsi="Arial"/>
          <w:i/>
          <w:sz w:val="24"/>
        </w:rPr>
        <w:t>an example, the</w:t>
      </w:r>
      <w:r>
        <w:rPr>
          <w:rFonts w:ascii="Arial" w:hAnsi="Arial"/>
          <w:i/>
          <w:spacing w:val="-5"/>
          <w:sz w:val="24"/>
        </w:rPr>
        <w:t xml:space="preserve"> </w:t>
      </w:r>
      <w:r>
        <w:rPr>
          <w:rFonts w:ascii="Arial" w:hAnsi="Arial"/>
          <w:i/>
          <w:sz w:val="24"/>
        </w:rPr>
        <w:t>Commission</w:t>
      </w:r>
      <w:r>
        <w:rPr>
          <w:rFonts w:ascii="Arial" w:hAnsi="Arial"/>
          <w:i/>
          <w:spacing w:val="-5"/>
          <w:sz w:val="24"/>
        </w:rPr>
        <w:t xml:space="preserve"> </w:t>
      </w:r>
      <w:r>
        <w:rPr>
          <w:rFonts w:ascii="Arial" w:hAnsi="Arial"/>
          <w:i/>
          <w:sz w:val="24"/>
        </w:rPr>
        <w:t>set</w:t>
      </w:r>
      <w:r>
        <w:rPr>
          <w:rFonts w:ascii="Arial" w:hAnsi="Arial"/>
          <w:i/>
          <w:spacing w:val="-7"/>
          <w:sz w:val="24"/>
        </w:rPr>
        <w:t xml:space="preserve"> </w:t>
      </w:r>
      <w:r>
        <w:rPr>
          <w:rFonts w:ascii="Arial" w:hAnsi="Arial"/>
          <w:i/>
          <w:sz w:val="24"/>
        </w:rPr>
        <w:t>up</w:t>
      </w:r>
      <w:r>
        <w:rPr>
          <w:rFonts w:ascii="Arial" w:hAnsi="Arial"/>
          <w:i/>
          <w:spacing w:val="-7"/>
          <w:sz w:val="24"/>
        </w:rPr>
        <w:t xml:space="preserve"> </w:t>
      </w:r>
      <w:r>
        <w:rPr>
          <w:rFonts w:ascii="Arial" w:hAnsi="Arial"/>
          <w:i/>
          <w:sz w:val="24"/>
        </w:rPr>
        <w:t>the</w:t>
      </w:r>
      <w:r>
        <w:rPr>
          <w:rFonts w:ascii="Arial" w:hAnsi="Arial"/>
          <w:i/>
          <w:spacing w:val="-7"/>
          <w:sz w:val="24"/>
        </w:rPr>
        <w:t xml:space="preserve"> </w:t>
      </w:r>
      <w:r>
        <w:rPr>
          <w:rFonts w:ascii="Arial" w:hAnsi="Arial"/>
          <w:i/>
          <w:sz w:val="24"/>
        </w:rPr>
        <w:t>European</w:t>
      </w:r>
      <w:r>
        <w:rPr>
          <w:rFonts w:ascii="Arial" w:hAnsi="Arial"/>
          <w:i/>
          <w:spacing w:val="-7"/>
          <w:sz w:val="24"/>
        </w:rPr>
        <w:t xml:space="preserve"> </w:t>
      </w:r>
      <w:r>
        <w:rPr>
          <w:rFonts w:ascii="Arial" w:hAnsi="Arial"/>
          <w:i/>
          <w:sz w:val="24"/>
        </w:rPr>
        <w:t>Community</w:t>
      </w:r>
      <w:r>
        <w:rPr>
          <w:rFonts w:ascii="Arial" w:hAnsi="Arial"/>
          <w:i/>
          <w:spacing w:val="-5"/>
          <w:sz w:val="24"/>
        </w:rPr>
        <w:t xml:space="preserve"> </w:t>
      </w:r>
      <w:r>
        <w:rPr>
          <w:rFonts w:ascii="Arial" w:hAnsi="Arial"/>
          <w:i/>
          <w:sz w:val="24"/>
        </w:rPr>
        <w:t>of</w:t>
      </w:r>
      <w:r>
        <w:rPr>
          <w:rFonts w:ascii="Arial" w:hAnsi="Arial"/>
          <w:i/>
          <w:spacing w:val="-7"/>
          <w:sz w:val="24"/>
        </w:rPr>
        <w:t xml:space="preserve"> </w:t>
      </w:r>
      <w:r>
        <w:rPr>
          <w:rFonts w:ascii="Arial" w:hAnsi="Arial"/>
          <w:i/>
          <w:sz w:val="24"/>
        </w:rPr>
        <w:t>Practice</w:t>
      </w:r>
      <w:r>
        <w:rPr>
          <w:rFonts w:ascii="Arial" w:hAnsi="Arial"/>
          <w:i/>
          <w:spacing w:val="-5"/>
          <w:sz w:val="24"/>
        </w:rPr>
        <w:t xml:space="preserve"> </w:t>
      </w:r>
      <w:r>
        <w:rPr>
          <w:rFonts w:ascii="Arial" w:hAnsi="Arial"/>
          <w:i/>
          <w:sz w:val="24"/>
        </w:rPr>
        <w:t>on</w:t>
      </w:r>
      <w:r>
        <w:rPr>
          <w:rFonts w:ascii="Arial" w:hAnsi="Arial"/>
          <w:i/>
          <w:spacing w:val="-5"/>
          <w:sz w:val="24"/>
        </w:rPr>
        <w:t xml:space="preserve"> </w:t>
      </w:r>
      <w:r>
        <w:rPr>
          <w:rFonts w:ascii="Arial" w:hAnsi="Arial"/>
          <w:i/>
          <w:sz w:val="24"/>
        </w:rPr>
        <w:t>Partnership</w:t>
      </w:r>
      <w:r>
        <w:rPr>
          <w:rFonts w:ascii="Arial" w:hAnsi="Arial"/>
          <w:i/>
          <w:spacing w:val="-7"/>
          <w:sz w:val="24"/>
        </w:rPr>
        <w:t xml:space="preserve"> </w:t>
      </w:r>
      <w:r>
        <w:rPr>
          <w:rFonts w:ascii="Arial" w:hAnsi="Arial"/>
          <w:i/>
          <w:sz w:val="24"/>
        </w:rPr>
        <w:t>2021–2027, where</w:t>
      </w:r>
      <w:r>
        <w:rPr>
          <w:rFonts w:ascii="Arial" w:hAnsi="Arial"/>
          <w:i/>
          <w:spacing w:val="-17"/>
          <w:sz w:val="24"/>
        </w:rPr>
        <w:t xml:space="preserve"> </w:t>
      </w:r>
      <w:r>
        <w:rPr>
          <w:rFonts w:ascii="Arial" w:hAnsi="Arial"/>
          <w:i/>
          <w:sz w:val="24"/>
        </w:rPr>
        <w:t>persons</w:t>
      </w:r>
      <w:r>
        <w:rPr>
          <w:rFonts w:ascii="Arial" w:hAnsi="Arial"/>
          <w:i/>
          <w:spacing w:val="-17"/>
          <w:sz w:val="24"/>
        </w:rPr>
        <w:t xml:space="preserve"> </w:t>
      </w:r>
      <w:r>
        <w:rPr>
          <w:rFonts w:ascii="Arial" w:hAnsi="Arial"/>
          <w:i/>
          <w:sz w:val="24"/>
        </w:rPr>
        <w:t>with</w:t>
      </w:r>
      <w:r>
        <w:rPr>
          <w:rFonts w:ascii="Arial" w:hAnsi="Arial"/>
          <w:i/>
          <w:spacing w:val="-16"/>
          <w:sz w:val="24"/>
        </w:rPr>
        <w:t xml:space="preserve"> </w:t>
      </w:r>
      <w:r>
        <w:rPr>
          <w:rFonts w:ascii="Arial" w:hAnsi="Arial"/>
          <w:i/>
          <w:sz w:val="24"/>
        </w:rPr>
        <w:t>disabilities</w:t>
      </w:r>
      <w:r>
        <w:rPr>
          <w:rFonts w:ascii="Arial" w:hAnsi="Arial"/>
          <w:i/>
          <w:spacing w:val="-17"/>
          <w:sz w:val="24"/>
        </w:rPr>
        <w:t xml:space="preserve"> </w:t>
      </w:r>
      <w:r>
        <w:rPr>
          <w:rFonts w:ascii="Arial" w:hAnsi="Arial"/>
          <w:i/>
          <w:sz w:val="24"/>
        </w:rPr>
        <w:t>are</w:t>
      </w:r>
      <w:r>
        <w:rPr>
          <w:rFonts w:ascii="Arial" w:hAnsi="Arial"/>
          <w:i/>
          <w:spacing w:val="-17"/>
          <w:sz w:val="24"/>
        </w:rPr>
        <w:t xml:space="preserve"> </w:t>
      </w:r>
      <w:r>
        <w:rPr>
          <w:rFonts w:ascii="Arial" w:hAnsi="Arial"/>
          <w:i/>
          <w:sz w:val="24"/>
        </w:rPr>
        <w:t>represented</w:t>
      </w:r>
      <w:r>
        <w:rPr>
          <w:rFonts w:ascii="Arial" w:hAnsi="Arial"/>
          <w:i/>
          <w:spacing w:val="-17"/>
          <w:sz w:val="24"/>
        </w:rPr>
        <w:t xml:space="preserve"> </w:t>
      </w:r>
      <w:r>
        <w:rPr>
          <w:rFonts w:ascii="Arial" w:hAnsi="Arial"/>
          <w:i/>
          <w:sz w:val="24"/>
        </w:rPr>
        <w:t>by</w:t>
      </w:r>
      <w:r>
        <w:rPr>
          <w:rFonts w:ascii="Arial" w:hAnsi="Arial"/>
          <w:i/>
          <w:spacing w:val="-16"/>
          <w:sz w:val="24"/>
        </w:rPr>
        <w:t xml:space="preserve"> </w:t>
      </w:r>
      <w:r>
        <w:rPr>
          <w:rFonts w:ascii="Arial" w:hAnsi="Arial"/>
          <w:i/>
          <w:sz w:val="24"/>
        </w:rPr>
        <w:t>the</w:t>
      </w:r>
      <w:r>
        <w:rPr>
          <w:rFonts w:ascii="Arial" w:hAnsi="Arial"/>
          <w:i/>
          <w:spacing w:val="-17"/>
          <w:sz w:val="24"/>
        </w:rPr>
        <w:t xml:space="preserve"> </w:t>
      </w:r>
      <w:r>
        <w:rPr>
          <w:rFonts w:ascii="Arial" w:hAnsi="Arial"/>
          <w:i/>
          <w:sz w:val="24"/>
        </w:rPr>
        <w:t>European</w:t>
      </w:r>
      <w:r>
        <w:rPr>
          <w:rFonts w:ascii="Arial" w:hAnsi="Arial"/>
          <w:i/>
          <w:spacing w:val="-17"/>
          <w:sz w:val="24"/>
        </w:rPr>
        <w:t xml:space="preserve"> </w:t>
      </w:r>
      <w:r>
        <w:rPr>
          <w:rFonts w:ascii="Arial" w:hAnsi="Arial"/>
          <w:i/>
          <w:sz w:val="24"/>
        </w:rPr>
        <w:t>Network</w:t>
      </w:r>
      <w:r>
        <w:rPr>
          <w:rFonts w:ascii="Arial" w:hAnsi="Arial"/>
          <w:i/>
          <w:spacing w:val="-16"/>
          <w:sz w:val="24"/>
        </w:rPr>
        <w:t xml:space="preserve"> </w:t>
      </w:r>
      <w:r>
        <w:rPr>
          <w:rFonts w:ascii="Arial" w:hAnsi="Arial"/>
          <w:i/>
          <w:sz w:val="24"/>
        </w:rPr>
        <w:t>on</w:t>
      </w:r>
      <w:r>
        <w:rPr>
          <w:rFonts w:ascii="Arial" w:hAnsi="Arial"/>
          <w:i/>
          <w:spacing w:val="-17"/>
          <w:sz w:val="24"/>
        </w:rPr>
        <w:t xml:space="preserve"> </w:t>
      </w:r>
      <w:r>
        <w:rPr>
          <w:rFonts w:ascii="Arial" w:hAnsi="Arial"/>
          <w:i/>
          <w:sz w:val="24"/>
        </w:rPr>
        <w:t xml:space="preserve">Independent Living and the Romanian Federation of </w:t>
      </w:r>
      <w:proofErr w:type="spellStart"/>
      <w:r>
        <w:rPr>
          <w:rFonts w:ascii="Arial" w:hAnsi="Arial"/>
          <w:i/>
          <w:sz w:val="24"/>
        </w:rPr>
        <w:t>Organisations</w:t>
      </w:r>
      <w:proofErr w:type="spellEnd"/>
      <w:r>
        <w:rPr>
          <w:rFonts w:ascii="Arial" w:hAnsi="Arial"/>
          <w:i/>
          <w:sz w:val="24"/>
        </w:rPr>
        <w:t xml:space="preserve"> of Persons with Disabilities.”</w:t>
      </w:r>
    </w:p>
    <w:p w14:paraId="57B6E7E8" w14:textId="77777777" w:rsidR="00161C10" w:rsidRDefault="00CE2C8C">
      <w:pPr>
        <w:pStyle w:val="BodyText"/>
        <w:spacing w:before="120" w:line="276" w:lineRule="auto"/>
        <w:ind w:left="360" w:right="352"/>
        <w:jc w:val="both"/>
      </w:pPr>
      <w:r>
        <w:t xml:space="preserve">ENIL welcomes the Commission's reference to our participation in the </w:t>
      </w:r>
      <w:hyperlink r:id="rId93">
        <w:r>
          <w:rPr>
            <w:color w:val="1154CC"/>
            <w:u w:val="single" w:color="1154CC"/>
          </w:rPr>
          <w:t>European</w:t>
        </w:r>
      </w:hyperlink>
      <w:r>
        <w:rPr>
          <w:color w:val="1154CC"/>
        </w:rPr>
        <w:t xml:space="preserve"> </w:t>
      </w:r>
      <w:hyperlink r:id="rId94">
        <w:r>
          <w:rPr>
            <w:color w:val="1154CC"/>
            <w:u w:val="single" w:color="1154CC"/>
          </w:rPr>
          <w:t>Community of Practice on Partnership</w:t>
        </w:r>
      </w:hyperlink>
      <w:r>
        <w:rPr>
          <w:color w:val="1154CC"/>
        </w:rPr>
        <w:t xml:space="preserve"> </w:t>
      </w:r>
      <w:r>
        <w:t>(</w:t>
      </w:r>
      <w:proofErr w:type="spellStart"/>
      <w:r>
        <w:t>ECoPP</w:t>
      </w:r>
      <w:proofErr w:type="spellEnd"/>
      <w:r>
        <w:t>) to demonstrate the involvement of disabled</w:t>
      </w:r>
      <w:r>
        <w:rPr>
          <w:spacing w:val="-5"/>
        </w:rPr>
        <w:t xml:space="preserve"> </w:t>
      </w:r>
      <w:r>
        <w:t>people</w:t>
      </w:r>
      <w:r>
        <w:rPr>
          <w:spacing w:val="-3"/>
        </w:rPr>
        <w:t xml:space="preserve"> </w:t>
      </w:r>
      <w:r>
        <w:t>as</w:t>
      </w:r>
      <w:r>
        <w:rPr>
          <w:spacing w:val="-3"/>
        </w:rPr>
        <w:t xml:space="preserve"> </w:t>
      </w:r>
      <w:r>
        <w:t>partners</w:t>
      </w:r>
      <w:r>
        <w:rPr>
          <w:spacing w:val="-4"/>
        </w:rPr>
        <w:t xml:space="preserve"> </w:t>
      </w:r>
      <w:r>
        <w:t>in</w:t>
      </w:r>
      <w:r>
        <w:rPr>
          <w:spacing w:val="-3"/>
        </w:rPr>
        <w:t xml:space="preserve"> </w:t>
      </w:r>
      <w:r>
        <w:t>EU</w:t>
      </w:r>
      <w:r>
        <w:rPr>
          <w:spacing w:val="-4"/>
        </w:rPr>
        <w:t xml:space="preserve"> </w:t>
      </w:r>
      <w:r>
        <w:t>funds.</w:t>
      </w:r>
      <w:r>
        <w:rPr>
          <w:spacing w:val="-3"/>
        </w:rPr>
        <w:t xml:space="preserve"> </w:t>
      </w:r>
      <w:r>
        <w:t>While</w:t>
      </w:r>
      <w:r>
        <w:rPr>
          <w:spacing w:val="-3"/>
        </w:rPr>
        <w:t xml:space="preserve"> </w:t>
      </w:r>
      <w:r>
        <w:t>ENIL</w:t>
      </w:r>
      <w:r>
        <w:rPr>
          <w:spacing w:val="-3"/>
        </w:rPr>
        <w:t xml:space="preserve"> </w:t>
      </w:r>
      <w:r>
        <w:t>is</w:t>
      </w:r>
      <w:r>
        <w:rPr>
          <w:spacing w:val="-4"/>
        </w:rPr>
        <w:t xml:space="preserve"> </w:t>
      </w:r>
      <w:r>
        <w:t>an</w:t>
      </w:r>
      <w:r>
        <w:rPr>
          <w:spacing w:val="-3"/>
        </w:rPr>
        <w:t xml:space="preserve"> </w:t>
      </w:r>
      <w:r>
        <w:t>active</w:t>
      </w:r>
      <w:r>
        <w:rPr>
          <w:spacing w:val="-5"/>
        </w:rPr>
        <w:t xml:space="preserve"> </w:t>
      </w:r>
      <w:r>
        <w:t>member</w:t>
      </w:r>
      <w:r>
        <w:rPr>
          <w:spacing w:val="-4"/>
        </w:rPr>
        <w:t xml:space="preserve"> </w:t>
      </w:r>
      <w:r>
        <w:t>in</w:t>
      </w:r>
      <w:r>
        <w:rPr>
          <w:spacing w:val="-3"/>
        </w:rPr>
        <w:t xml:space="preserve"> </w:t>
      </w:r>
      <w:proofErr w:type="spellStart"/>
      <w:r>
        <w:t>ECoPP</w:t>
      </w:r>
      <w:proofErr w:type="spellEnd"/>
      <w:r>
        <w:rPr>
          <w:spacing w:val="-3"/>
        </w:rPr>
        <w:t xml:space="preserve"> </w:t>
      </w:r>
      <w:r>
        <w:t>and has</w:t>
      </w:r>
      <w:r>
        <w:rPr>
          <w:spacing w:val="-2"/>
        </w:rPr>
        <w:t xml:space="preserve"> </w:t>
      </w:r>
      <w:r>
        <w:t>led</w:t>
      </w:r>
      <w:r>
        <w:rPr>
          <w:spacing w:val="-3"/>
        </w:rPr>
        <w:t xml:space="preserve"> </w:t>
      </w:r>
      <w:r>
        <w:t>a</w:t>
      </w:r>
      <w:r>
        <w:rPr>
          <w:spacing w:val="-2"/>
        </w:rPr>
        <w:t xml:space="preserve"> </w:t>
      </w:r>
      <w:r>
        <w:t>taskforce</w:t>
      </w:r>
      <w:r>
        <w:rPr>
          <w:spacing w:val="-2"/>
        </w:rPr>
        <w:t xml:space="preserve"> </w:t>
      </w:r>
      <w:r>
        <w:t>in</w:t>
      </w:r>
      <w:r>
        <w:rPr>
          <w:spacing w:val="-3"/>
        </w:rPr>
        <w:t xml:space="preserve"> </w:t>
      </w:r>
      <w:r>
        <w:t>2024,</w:t>
      </w:r>
      <w:r>
        <w:rPr>
          <w:spacing w:val="-2"/>
        </w:rPr>
        <w:t xml:space="preserve"> </w:t>
      </w:r>
      <w:r>
        <w:t>membership</w:t>
      </w:r>
      <w:r>
        <w:rPr>
          <w:spacing w:val="-3"/>
        </w:rPr>
        <w:t xml:space="preserve"> </w:t>
      </w:r>
      <w:r>
        <w:t>of</w:t>
      </w:r>
      <w:r>
        <w:rPr>
          <w:spacing w:val="-4"/>
        </w:rPr>
        <w:t xml:space="preserve"> </w:t>
      </w:r>
      <w:proofErr w:type="spellStart"/>
      <w:r>
        <w:t>ECoPP</w:t>
      </w:r>
      <w:proofErr w:type="spellEnd"/>
      <w:r>
        <w:rPr>
          <w:spacing w:val="-2"/>
        </w:rPr>
        <w:t xml:space="preserve"> </w:t>
      </w:r>
      <w:r>
        <w:t>cannot</w:t>
      </w:r>
      <w:r>
        <w:rPr>
          <w:spacing w:val="-2"/>
        </w:rPr>
        <w:t xml:space="preserve"> </w:t>
      </w:r>
      <w:r>
        <w:t>equate</w:t>
      </w:r>
      <w:r>
        <w:rPr>
          <w:spacing w:val="-3"/>
        </w:rPr>
        <w:t xml:space="preserve"> </w:t>
      </w:r>
      <w:r>
        <w:t>to</w:t>
      </w:r>
      <w:r>
        <w:rPr>
          <w:spacing w:val="-1"/>
        </w:rPr>
        <w:t xml:space="preserve"> </w:t>
      </w:r>
      <w:r>
        <w:t>active</w:t>
      </w:r>
      <w:r>
        <w:rPr>
          <w:spacing w:val="-3"/>
        </w:rPr>
        <w:t xml:space="preserve"> </w:t>
      </w:r>
      <w:r>
        <w:t xml:space="preserve">participation of disabled people and their </w:t>
      </w:r>
      <w:proofErr w:type="spellStart"/>
      <w:r>
        <w:t>organisations</w:t>
      </w:r>
      <w:proofErr w:type="spellEnd"/>
      <w:r>
        <w:t xml:space="preserve"> in Monitoring Committees at national level. It is</w:t>
      </w:r>
      <w:r>
        <w:rPr>
          <w:spacing w:val="-15"/>
        </w:rPr>
        <w:t xml:space="preserve"> </w:t>
      </w:r>
      <w:r>
        <w:t>worth</w:t>
      </w:r>
      <w:r>
        <w:rPr>
          <w:spacing w:val="-14"/>
        </w:rPr>
        <w:t xml:space="preserve"> </w:t>
      </w:r>
      <w:r>
        <w:t>noting</w:t>
      </w:r>
      <w:r>
        <w:rPr>
          <w:spacing w:val="-14"/>
        </w:rPr>
        <w:t xml:space="preserve"> </w:t>
      </w:r>
      <w:r>
        <w:t>that</w:t>
      </w:r>
      <w:r>
        <w:rPr>
          <w:spacing w:val="-17"/>
        </w:rPr>
        <w:t xml:space="preserve"> </w:t>
      </w:r>
      <w:proofErr w:type="spellStart"/>
      <w:r>
        <w:t>ECoPP</w:t>
      </w:r>
      <w:proofErr w:type="spellEnd"/>
      <w:r>
        <w:rPr>
          <w:spacing w:val="-13"/>
        </w:rPr>
        <w:t xml:space="preserve"> </w:t>
      </w:r>
      <w:r>
        <w:t>does</w:t>
      </w:r>
      <w:r>
        <w:rPr>
          <w:spacing w:val="-17"/>
        </w:rPr>
        <w:t xml:space="preserve"> </w:t>
      </w:r>
      <w:r>
        <w:t>not</w:t>
      </w:r>
      <w:r>
        <w:rPr>
          <w:spacing w:val="-16"/>
        </w:rPr>
        <w:t xml:space="preserve"> </w:t>
      </w:r>
      <w:r>
        <w:t>have</w:t>
      </w:r>
      <w:r>
        <w:rPr>
          <w:spacing w:val="-14"/>
        </w:rPr>
        <w:t xml:space="preserve"> </w:t>
      </w:r>
      <w:r>
        <w:t>as</w:t>
      </w:r>
      <w:r>
        <w:rPr>
          <w:spacing w:val="-15"/>
        </w:rPr>
        <w:t xml:space="preserve"> </w:t>
      </w:r>
      <w:r>
        <w:t>its</w:t>
      </w:r>
      <w:r>
        <w:rPr>
          <w:spacing w:val="-14"/>
        </w:rPr>
        <w:t xml:space="preserve"> </w:t>
      </w:r>
      <w:r>
        <w:t>mandate</w:t>
      </w:r>
      <w:r>
        <w:rPr>
          <w:spacing w:val="-14"/>
        </w:rPr>
        <w:t xml:space="preserve"> </w:t>
      </w:r>
      <w:r>
        <w:t>the</w:t>
      </w:r>
      <w:r>
        <w:rPr>
          <w:spacing w:val="-17"/>
        </w:rPr>
        <w:t xml:space="preserve"> </w:t>
      </w:r>
      <w:r>
        <w:t>preparation,</w:t>
      </w:r>
      <w:r>
        <w:rPr>
          <w:spacing w:val="-13"/>
        </w:rPr>
        <w:t xml:space="preserve"> </w:t>
      </w:r>
      <w:r>
        <w:t xml:space="preserve">implementation or evaluation of Member States’ </w:t>
      </w:r>
      <w:proofErr w:type="spellStart"/>
      <w:r>
        <w:t>programmes</w:t>
      </w:r>
      <w:proofErr w:type="spellEnd"/>
      <w:r>
        <w:t>, or specific investments. Its role is:</w:t>
      </w:r>
    </w:p>
    <w:p w14:paraId="1EEBA346" w14:textId="77777777" w:rsidR="00161C10" w:rsidRDefault="00CE2C8C">
      <w:pPr>
        <w:pStyle w:val="ListParagraph"/>
        <w:numPr>
          <w:ilvl w:val="0"/>
          <w:numId w:val="6"/>
        </w:numPr>
        <w:tabs>
          <w:tab w:val="left" w:pos="1079"/>
        </w:tabs>
        <w:spacing w:before="119"/>
        <w:ind w:left="1079" w:hanging="359"/>
        <w:rPr>
          <w:rFonts w:ascii="Arial MT" w:hAnsi="Arial MT"/>
          <w:sz w:val="24"/>
        </w:rPr>
      </w:pPr>
      <w:r>
        <w:rPr>
          <w:rFonts w:ascii="Arial MT" w:hAnsi="Arial MT"/>
          <w:sz w:val="24"/>
        </w:rPr>
        <w:t>to</w:t>
      </w:r>
      <w:r>
        <w:rPr>
          <w:rFonts w:ascii="Arial MT" w:hAnsi="Arial MT"/>
          <w:spacing w:val="-5"/>
          <w:sz w:val="24"/>
        </w:rPr>
        <w:t xml:space="preserve"> </w:t>
      </w:r>
      <w:r>
        <w:rPr>
          <w:rFonts w:ascii="Arial MT" w:hAnsi="Arial MT"/>
          <w:sz w:val="24"/>
        </w:rPr>
        <w:t>facilitate</w:t>
      </w:r>
      <w:r>
        <w:rPr>
          <w:rFonts w:ascii="Arial MT" w:hAnsi="Arial MT"/>
          <w:spacing w:val="-4"/>
          <w:sz w:val="24"/>
        </w:rPr>
        <w:t xml:space="preserve"> </w:t>
      </w:r>
      <w:r>
        <w:rPr>
          <w:rFonts w:ascii="Arial MT" w:hAnsi="Arial MT"/>
          <w:sz w:val="24"/>
        </w:rPr>
        <w:t>exchange</w:t>
      </w:r>
      <w:r>
        <w:rPr>
          <w:rFonts w:ascii="Arial MT" w:hAnsi="Arial MT"/>
          <w:spacing w:val="-6"/>
          <w:sz w:val="24"/>
        </w:rPr>
        <w:t xml:space="preserve"> </w:t>
      </w:r>
      <w:r>
        <w:rPr>
          <w:rFonts w:ascii="Arial MT" w:hAnsi="Arial MT"/>
          <w:sz w:val="24"/>
        </w:rPr>
        <w:t>of</w:t>
      </w:r>
      <w:r>
        <w:rPr>
          <w:rFonts w:ascii="Arial MT" w:hAnsi="Arial MT"/>
          <w:spacing w:val="-3"/>
          <w:sz w:val="24"/>
        </w:rPr>
        <w:t xml:space="preserve"> </w:t>
      </w:r>
      <w:r>
        <w:rPr>
          <w:rFonts w:ascii="Arial MT" w:hAnsi="Arial MT"/>
          <w:sz w:val="24"/>
        </w:rPr>
        <w:t>experience</w:t>
      </w:r>
      <w:r>
        <w:rPr>
          <w:rFonts w:ascii="Arial MT" w:hAnsi="Arial MT"/>
          <w:spacing w:val="-3"/>
          <w:sz w:val="24"/>
        </w:rPr>
        <w:t xml:space="preserve"> </w:t>
      </w:r>
      <w:r>
        <w:rPr>
          <w:rFonts w:ascii="Arial MT" w:hAnsi="Arial MT"/>
          <w:sz w:val="24"/>
        </w:rPr>
        <w:t>with</w:t>
      </w:r>
      <w:r>
        <w:rPr>
          <w:rFonts w:ascii="Arial MT" w:hAnsi="Arial MT"/>
          <w:spacing w:val="-4"/>
          <w:sz w:val="24"/>
        </w:rPr>
        <w:t xml:space="preserve"> </w:t>
      </w:r>
      <w:r>
        <w:rPr>
          <w:rFonts w:ascii="Arial MT" w:hAnsi="Arial MT"/>
          <w:sz w:val="24"/>
        </w:rPr>
        <w:t>regard</w:t>
      </w:r>
      <w:r>
        <w:rPr>
          <w:rFonts w:ascii="Arial MT" w:hAnsi="Arial MT"/>
          <w:spacing w:val="-3"/>
          <w:sz w:val="24"/>
        </w:rPr>
        <w:t xml:space="preserve"> </w:t>
      </w:r>
      <w:r>
        <w:rPr>
          <w:rFonts w:ascii="Arial MT" w:hAnsi="Arial MT"/>
          <w:sz w:val="24"/>
        </w:rPr>
        <w:t>to</w:t>
      </w:r>
      <w:r>
        <w:rPr>
          <w:rFonts w:ascii="Arial MT" w:hAnsi="Arial MT"/>
          <w:spacing w:val="-5"/>
          <w:sz w:val="24"/>
        </w:rPr>
        <w:t xml:space="preserve"> </w:t>
      </w:r>
      <w:proofErr w:type="gramStart"/>
      <w:r>
        <w:rPr>
          <w:rFonts w:ascii="Arial MT" w:hAnsi="Arial MT"/>
          <w:spacing w:val="-2"/>
          <w:sz w:val="24"/>
        </w:rPr>
        <w:t>partnership;</w:t>
      </w:r>
      <w:proofErr w:type="gramEnd"/>
    </w:p>
    <w:p w14:paraId="50E36ECC" w14:textId="77777777" w:rsidR="00161C10" w:rsidRDefault="00CE2C8C">
      <w:pPr>
        <w:pStyle w:val="ListParagraph"/>
        <w:numPr>
          <w:ilvl w:val="0"/>
          <w:numId w:val="6"/>
        </w:numPr>
        <w:tabs>
          <w:tab w:val="left" w:pos="1079"/>
        </w:tabs>
        <w:spacing w:before="161"/>
        <w:ind w:left="1079" w:hanging="359"/>
        <w:rPr>
          <w:rFonts w:ascii="Arial MT" w:hAnsi="Arial MT"/>
          <w:sz w:val="24"/>
        </w:rPr>
      </w:pPr>
      <w:r>
        <w:rPr>
          <w:rFonts w:ascii="Arial MT" w:hAnsi="Arial MT"/>
          <w:sz w:val="24"/>
        </w:rPr>
        <w:t>to</w:t>
      </w:r>
      <w:r>
        <w:rPr>
          <w:rFonts w:ascii="Arial MT" w:hAnsi="Arial MT"/>
          <w:spacing w:val="-2"/>
          <w:sz w:val="24"/>
        </w:rPr>
        <w:t xml:space="preserve"> </w:t>
      </w:r>
      <w:r>
        <w:rPr>
          <w:rFonts w:ascii="Arial MT" w:hAnsi="Arial MT"/>
          <w:sz w:val="24"/>
        </w:rPr>
        <w:t>stimulate</w:t>
      </w:r>
      <w:r>
        <w:rPr>
          <w:rFonts w:ascii="Arial MT" w:hAnsi="Arial MT"/>
          <w:spacing w:val="-2"/>
          <w:sz w:val="24"/>
        </w:rPr>
        <w:t xml:space="preserve"> </w:t>
      </w:r>
      <w:r>
        <w:rPr>
          <w:rFonts w:ascii="Arial MT" w:hAnsi="Arial MT"/>
          <w:sz w:val="24"/>
        </w:rPr>
        <w:t>capacity</w:t>
      </w:r>
      <w:r>
        <w:rPr>
          <w:rFonts w:ascii="Arial MT" w:hAnsi="Arial MT"/>
          <w:spacing w:val="-4"/>
          <w:sz w:val="24"/>
        </w:rPr>
        <w:t xml:space="preserve"> </w:t>
      </w:r>
      <w:proofErr w:type="gramStart"/>
      <w:r>
        <w:rPr>
          <w:rFonts w:ascii="Arial MT" w:hAnsi="Arial MT"/>
          <w:spacing w:val="-2"/>
          <w:sz w:val="24"/>
        </w:rPr>
        <w:t>building;</w:t>
      </w:r>
      <w:proofErr w:type="gramEnd"/>
    </w:p>
    <w:p w14:paraId="401E750E" w14:textId="77777777" w:rsidR="00161C10" w:rsidRDefault="00CE2C8C">
      <w:pPr>
        <w:pStyle w:val="ListParagraph"/>
        <w:numPr>
          <w:ilvl w:val="0"/>
          <w:numId w:val="6"/>
        </w:numPr>
        <w:tabs>
          <w:tab w:val="left" w:pos="1080"/>
        </w:tabs>
        <w:spacing w:before="164" w:line="276" w:lineRule="auto"/>
        <w:ind w:right="361"/>
        <w:rPr>
          <w:rFonts w:ascii="Arial MT" w:hAnsi="Arial MT"/>
          <w:sz w:val="24"/>
        </w:rPr>
      </w:pPr>
      <w:r>
        <w:rPr>
          <w:rFonts w:ascii="Arial MT" w:hAnsi="Arial MT"/>
          <w:sz w:val="24"/>
        </w:rPr>
        <w:t xml:space="preserve">to disseminate relevant outcomes, in particular good practice and innovative </w:t>
      </w:r>
      <w:proofErr w:type="gramStart"/>
      <w:r>
        <w:rPr>
          <w:rFonts w:ascii="Arial MT" w:hAnsi="Arial MT"/>
          <w:spacing w:val="-2"/>
          <w:sz w:val="24"/>
        </w:rPr>
        <w:t>approaches;</w:t>
      </w:r>
      <w:proofErr w:type="gramEnd"/>
    </w:p>
    <w:p w14:paraId="6B7D77F8" w14:textId="77777777" w:rsidR="00161C10" w:rsidRDefault="00CE2C8C">
      <w:pPr>
        <w:pStyle w:val="ListParagraph"/>
        <w:numPr>
          <w:ilvl w:val="0"/>
          <w:numId w:val="6"/>
        </w:numPr>
        <w:tabs>
          <w:tab w:val="left" w:pos="1080"/>
        </w:tabs>
        <w:spacing w:before="119" w:line="276" w:lineRule="auto"/>
        <w:ind w:right="366"/>
        <w:rPr>
          <w:rFonts w:ascii="Arial MT" w:hAnsi="Arial MT"/>
          <w:sz w:val="24"/>
        </w:rPr>
      </w:pPr>
      <w:r>
        <w:rPr>
          <w:rFonts w:ascii="Arial MT" w:hAnsi="Arial MT"/>
          <w:sz w:val="24"/>
        </w:rPr>
        <w:t>to review the application and functioning of the European Code of Conduct and prepare proposals for its possible update - although this is now in hiatus.</w:t>
      </w:r>
    </w:p>
    <w:p w14:paraId="477055C9" w14:textId="77777777" w:rsidR="00161C10" w:rsidRDefault="00CE2C8C">
      <w:pPr>
        <w:pStyle w:val="BodyText"/>
        <w:spacing w:before="121" w:line="276" w:lineRule="auto"/>
        <w:ind w:left="360" w:right="357"/>
        <w:jc w:val="both"/>
      </w:pPr>
      <w:r>
        <w:t>At the national level, Monitoring Committees should oversee the implementation of EU funds</w:t>
      </w:r>
      <w:r>
        <w:rPr>
          <w:spacing w:val="-10"/>
        </w:rPr>
        <w:t xml:space="preserve"> </w:t>
      </w:r>
      <w:r>
        <w:t>and</w:t>
      </w:r>
      <w:r>
        <w:rPr>
          <w:spacing w:val="-9"/>
        </w:rPr>
        <w:t xml:space="preserve"> </w:t>
      </w:r>
      <w:r>
        <w:t>the</w:t>
      </w:r>
      <w:r>
        <w:rPr>
          <w:spacing w:val="-8"/>
        </w:rPr>
        <w:t xml:space="preserve"> </w:t>
      </w:r>
      <w:hyperlink r:id="rId95">
        <w:r>
          <w:rPr>
            <w:color w:val="1154CC"/>
            <w:u w:val="single" w:color="1154CC"/>
          </w:rPr>
          <w:t>European</w:t>
        </w:r>
        <w:r>
          <w:rPr>
            <w:color w:val="1154CC"/>
            <w:spacing w:val="-9"/>
            <w:u w:val="single" w:color="1154CC"/>
          </w:rPr>
          <w:t xml:space="preserve"> </w:t>
        </w:r>
        <w:r>
          <w:rPr>
            <w:color w:val="1154CC"/>
            <w:u w:val="single" w:color="1154CC"/>
          </w:rPr>
          <w:t>Code</w:t>
        </w:r>
        <w:r>
          <w:rPr>
            <w:color w:val="1154CC"/>
            <w:spacing w:val="-9"/>
            <w:u w:val="single" w:color="1154CC"/>
          </w:rPr>
          <w:t xml:space="preserve"> </w:t>
        </w:r>
        <w:r>
          <w:rPr>
            <w:color w:val="1154CC"/>
            <w:u w:val="single" w:color="1154CC"/>
          </w:rPr>
          <w:t>of</w:t>
        </w:r>
        <w:r>
          <w:rPr>
            <w:color w:val="1154CC"/>
            <w:spacing w:val="-10"/>
            <w:u w:val="single" w:color="1154CC"/>
          </w:rPr>
          <w:t xml:space="preserve"> </w:t>
        </w:r>
        <w:r>
          <w:rPr>
            <w:color w:val="1154CC"/>
            <w:u w:val="single" w:color="1154CC"/>
          </w:rPr>
          <w:t>Conduct</w:t>
        </w:r>
        <w:r>
          <w:rPr>
            <w:color w:val="1154CC"/>
            <w:spacing w:val="-10"/>
            <w:u w:val="single" w:color="1154CC"/>
          </w:rPr>
          <w:t xml:space="preserve"> </w:t>
        </w:r>
        <w:r>
          <w:rPr>
            <w:color w:val="1154CC"/>
            <w:u w:val="single" w:color="1154CC"/>
          </w:rPr>
          <w:t>on</w:t>
        </w:r>
        <w:r>
          <w:rPr>
            <w:color w:val="1154CC"/>
            <w:spacing w:val="-12"/>
            <w:u w:val="single" w:color="1154CC"/>
          </w:rPr>
          <w:t xml:space="preserve"> </w:t>
        </w:r>
        <w:r>
          <w:rPr>
            <w:color w:val="1154CC"/>
            <w:u w:val="single" w:color="1154CC"/>
          </w:rPr>
          <w:t>Partnership</w:t>
        </w:r>
      </w:hyperlink>
      <w:r>
        <w:rPr>
          <w:color w:val="1154CC"/>
          <w:spacing w:val="-5"/>
        </w:rPr>
        <w:t xml:space="preserve"> </w:t>
      </w:r>
      <w:r>
        <w:t>(Regulation</w:t>
      </w:r>
      <w:r>
        <w:rPr>
          <w:spacing w:val="-9"/>
        </w:rPr>
        <w:t xml:space="preserve"> </w:t>
      </w:r>
      <w:r>
        <w:t>(EU)</w:t>
      </w:r>
      <w:r>
        <w:rPr>
          <w:spacing w:val="-11"/>
        </w:rPr>
        <w:t xml:space="preserve"> </w:t>
      </w:r>
      <w:r>
        <w:t>No</w:t>
      </w:r>
      <w:r>
        <w:rPr>
          <w:spacing w:val="-10"/>
        </w:rPr>
        <w:t xml:space="preserve"> </w:t>
      </w:r>
      <w:r>
        <w:t>240/2014) requires inclusion of those most excluded, such as disabled people. However, our members and allies report that it is extremely challenging to participate in these Committees</w:t>
      </w:r>
      <w:r>
        <w:rPr>
          <w:spacing w:val="-1"/>
        </w:rPr>
        <w:t xml:space="preserve"> </w:t>
      </w:r>
      <w:r>
        <w:t>due to</w:t>
      </w:r>
      <w:r>
        <w:rPr>
          <w:spacing w:val="-2"/>
        </w:rPr>
        <w:t xml:space="preserve"> </w:t>
      </w:r>
      <w:r>
        <w:t>their</w:t>
      </w:r>
      <w:r>
        <w:rPr>
          <w:spacing w:val="-2"/>
        </w:rPr>
        <w:t xml:space="preserve"> </w:t>
      </w:r>
      <w:r>
        <w:t>lack of capacity, resources</w:t>
      </w:r>
      <w:r>
        <w:rPr>
          <w:spacing w:val="-1"/>
        </w:rPr>
        <w:t xml:space="preserve"> </w:t>
      </w:r>
      <w:r>
        <w:t>and information.</w:t>
      </w:r>
      <w:r>
        <w:rPr>
          <w:spacing w:val="-3"/>
        </w:rPr>
        <w:t xml:space="preserve"> </w:t>
      </w:r>
      <w:r>
        <w:t>Those that</w:t>
      </w:r>
      <w:r>
        <w:rPr>
          <w:spacing w:val="-3"/>
        </w:rPr>
        <w:t xml:space="preserve"> </w:t>
      </w:r>
      <w:r>
        <w:t>are</w:t>
      </w:r>
      <w:r>
        <w:rPr>
          <w:spacing w:val="-1"/>
        </w:rPr>
        <w:t xml:space="preserve"> </w:t>
      </w:r>
      <w:r>
        <w:t>part of the Committees have informed us that they perceive their participation as tokenistic: they</w:t>
      </w:r>
      <w:r>
        <w:rPr>
          <w:spacing w:val="-10"/>
        </w:rPr>
        <w:t xml:space="preserve"> </w:t>
      </w:r>
      <w:r>
        <w:t>do</w:t>
      </w:r>
      <w:r>
        <w:rPr>
          <w:spacing w:val="-12"/>
        </w:rPr>
        <w:t xml:space="preserve"> </w:t>
      </w:r>
      <w:r>
        <w:t>not</w:t>
      </w:r>
      <w:r>
        <w:rPr>
          <w:spacing w:val="-10"/>
        </w:rPr>
        <w:t xml:space="preserve"> </w:t>
      </w:r>
      <w:r>
        <w:t>receive</w:t>
      </w:r>
      <w:r>
        <w:rPr>
          <w:spacing w:val="-9"/>
        </w:rPr>
        <w:t xml:space="preserve"> </w:t>
      </w:r>
      <w:r>
        <w:t>sufficient</w:t>
      </w:r>
      <w:r>
        <w:rPr>
          <w:spacing w:val="-10"/>
        </w:rPr>
        <w:t xml:space="preserve"> </w:t>
      </w:r>
      <w:r>
        <w:t>information</w:t>
      </w:r>
      <w:r>
        <w:rPr>
          <w:spacing w:val="-9"/>
        </w:rPr>
        <w:t xml:space="preserve"> </w:t>
      </w:r>
      <w:r>
        <w:t>about</w:t>
      </w:r>
      <w:r>
        <w:rPr>
          <w:spacing w:val="-10"/>
        </w:rPr>
        <w:t xml:space="preserve"> </w:t>
      </w:r>
      <w:r>
        <w:t>ongoing</w:t>
      </w:r>
      <w:r>
        <w:rPr>
          <w:spacing w:val="-9"/>
        </w:rPr>
        <w:t xml:space="preserve"> </w:t>
      </w:r>
      <w:r>
        <w:t>or</w:t>
      </w:r>
      <w:r>
        <w:rPr>
          <w:spacing w:val="-11"/>
        </w:rPr>
        <w:t xml:space="preserve"> </w:t>
      </w:r>
      <w:r>
        <w:t>planned</w:t>
      </w:r>
      <w:r>
        <w:rPr>
          <w:spacing w:val="-9"/>
        </w:rPr>
        <w:t xml:space="preserve"> </w:t>
      </w:r>
      <w:r>
        <w:t>investments,</w:t>
      </w:r>
      <w:r>
        <w:rPr>
          <w:spacing w:val="-9"/>
        </w:rPr>
        <w:t xml:space="preserve"> </w:t>
      </w:r>
      <w:r>
        <w:t>they</w:t>
      </w:r>
      <w:r>
        <w:rPr>
          <w:spacing w:val="-10"/>
        </w:rPr>
        <w:t xml:space="preserve"> </w:t>
      </w:r>
      <w:r>
        <w:t>are</w:t>
      </w:r>
    </w:p>
    <w:p w14:paraId="3B97E10D" w14:textId="77777777" w:rsidR="00161C10" w:rsidRDefault="00161C10">
      <w:pPr>
        <w:pStyle w:val="BodyText"/>
        <w:spacing w:line="276" w:lineRule="auto"/>
        <w:jc w:val="both"/>
        <w:sectPr w:rsidR="00161C10">
          <w:pgSz w:w="12240" w:h="15840"/>
          <w:pgMar w:top="1360" w:right="1080" w:bottom="1520" w:left="1080" w:header="0" w:footer="1274" w:gutter="0"/>
          <w:cols w:space="720"/>
        </w:sectPr>
      </w:pPr>
    </w:p>
    <w:p w14:paraId="4CA1922E" w14:textId="77777777" w:rsidR="00161C10" w:rsidRDefault="00CE2C8C">
      <w:pPr>
        <w:pStyle w:val="BodyText"/>
        <w:spacing w:before="81" w:line="276" w:lineRule="auto"/>
        <w:ind w:left="360"/>
      </w:pPr>
      <w:r>
        <w:lastRenderedPageBreak/>
        <w:t>not</w:t>
      </w:r>
      <w:r>
        <w:rPr>
          <w:spacing w:val="40"/>
        </w:rPr>
        <w:t xml:space="preserve"> </w:t>
      </w:r>
      <w:r>
        <w:t>properly</w:t>
      </w:r>
      <w:r>
        <w:rPr>
          <w:spacing w:val="40"/>
        </w:rPr>
        <w:t xml:space="preserve"> </w:t>
      </w:r>
      <w:r>
        <w:t>consulted,</w:t>
      </w:r>
      <w:r>
        <w:rPr>
          <w:spacing w:val="40"/>
        </w:rPr>
        <w:t xml:space="preserve"> </w:t>
      </w:r>
      <w:r>
        <w:t>and</w:t>
      </w:r>
      <w:r>
        <w:rPr>
          <w:spacing w:val="40"/>
        </w:rPr>
        <w:t xml:space="preserve"> </w:t>
      </w:r>
      <w:r>
        <w:t>when</w:t>
      </w:r>
      <w:r>
        <w:rPr>
          <w:spacing w:val="40"/>
        </w:rPr>
        <w:t xml:space="preserve"> </w:t>
      </w:r>
      <w:r>
        <w:t>they</w:t>
      </w:r>
      <w:r>
        <w:rPr>
          <w:spacing w:val="40"/>
        </w:rPr>
        <w:t xml:space="preserve"> </w:t>
      </w:r>
      <w:r>
        <w:t>express</w:t>
      </w:r>
      <w:r>
        <w:rPr>
          <w:spacing w:val="40"/>
        </w:rPr>
        <w:t xml:space="preserve"> </w:t>
      </w:r>
      <w:proofErr w:type="gramStart"/>
      <w:r>
        <w:t>disagreement</w:t>
      </w:r>
      <w:proofErr w:type="gramEnd"/>
      <w:r>
        <w:rPr>
          <w:spacing w:val="40"/>
        </w:rPr>
        <w:t xml:space="preserve"> </w:t>
      </w:r>
      <w:r>
        <w:t>their</w:t>
      </w:r>
      <w:r>
        <w:rPr>
          <w:spacing w:val="40"/>
        </w:rPr>
        <w:t xml:space="preserve"> </w:t>
      </w:r>
      <w:r>
        <w:t>complaints</w:t>
      </w:r>
      <w:r>
        <w:rPr>
          <w:spacing w:val="40"/>
        </w:rPr>
        <w:t xml:space="preserve"> </w:t>
      </w:r>
      <w:r>
        <w:t>are</w:t>
      </w:r>
      <w:r>
        <w:rPr>
          <w:spacing w:val="80"/>
        </w:rPr>
        <w:t xml:space="preserve"> </w:t>
      </w:r>
      <w:r>
        <w:rPr>
          <w:spacing w:val="-2"/>
        </w:rPr>
        <w:t>dismissed.</w:t>
      </w:r>
    </w:p>
    <w:p w14:paraId="6D71BC1C" w14:textId="77777777" w:rsidR="00161C10" w:rsidRDefault="00CE2C8C">
      <w:pPr>
        <w:spacing w:before="118"/>
        <w:ind w:left="360"/>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3F4A705D" w14:textId="77777777" w:rsidR="00161C10" w:rsidRDefault="00CE2C8C">
      <w:pPr>
        <w:pStyle w:val="BodyText"/>
        <w:spacing w:before="3"/>
        <w:rPr>
          <w:rFonts w:ascii="Arial"/>
          <w:b/>
          <w:i/>
          <w:sz w:val="12"/>
        </w:rPr>
      </w:pPr>
      <w:r>
        <w:rPr>
          <w:rFonts w:ascii="Arial"/>
          <w:b/>
          <w:i/>
          <w:noProof/>
          <w:sz w:val="12"/>
        </w:rPr>
        <mc:AlternateContent>
          <mc:Choice Requires="wps">
            <w:drawing>
              <wp:anchor distT="0" distB="0" distL="0" distR="0" simplePos="0" relativeHeight="487600640" behindDoc="1" locked="0" layoutInCell="1" allowOverlap="1" wp14:anchorId="4607A605" wp14:editId="2E78E928">
                <wp:simplePos x="0" y="0"/>
                <wp:positionH relativeFrom="page">
                  <wp:posOffset>843076</wp:posOffset>
                </wp:positionH>
                <wp:positionV relativeFrom="paragraph">
                  <wp:posOffset>108380</wp:posOffset>
                </wp:positionV>
                <wp:extent cx="6088380" cy="83566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835660"/>
                        </a:xfrm>
                        <a:prstGeom prst="rect">
                          <a:avLst/>
                        </a:prstGeom>
                        <a:ln w="6095">
                          <a:solidFill>
                            <a:srgbClr val="000000"/>
                          </a:solidFill>
                          <a:prstDash val="solid"/>
                        </a:ln>
                      </wps:spPr>
                      <wps:txbx>
                        <w:txbxContent>
                          <w:p w14:paraId="5FBD6672" w14:textId="77777777" w:rsidR="00161C10" w:rsidRDefault="00CE2C8C">
                            <w:pPr>
                              <w:spacing w:before="19" w:line="276" w:lineRule="auto"/>
                              <w:ind w:left="108" w:right="112"/>
                              <w:jc w:val="both"/>
                              <w:rPr>
                                <w:rFonts w:ascii="Arial"/>
                                <w:b/>
                                <w:sz w:val="24"/>
                              </w:rPr>
                            </w:pPr>
                            <w:r>
                              <w:rPr>
                                <w:rFonts w:ascii="Arial"/>
                                <w:b/>
                                <w:sz w:val="24"/>
                              </w:rPr>
                              <w:t xml:space="preserve">The Committee recommends that the EU reinforces the implementation of the partnership principle in the next budgetary period, ensuring meaningful participation of disabled people and their representative </w:t>
                            </w:r>
                            <w:proofErr w:type="spellStart"/>
                            <w:r>
                              <w:rPr>
                                <w:rFonts w:ascii="Arial"/>
                                <w:b/>
                                <w:sz w:val="24"/>
                              </w:rPr>
                              <w:t>organisations</w:t>
                            </w:r>
                            <w:proofErr w:type="spellEnd"/>
                            <w:r>
                              <w:rPr>
                                <w:rFonts w:ascii="Arial"/>
                                <w:b/>
                                <w:sz w:val="24"/>
                              </w:rPr>
                              <w:t xml:space="preserve"> in national Monitoring Committees.</w:t>
                            </w:r>
                          </w:p>
                        </w:txbxContent>
                      </wps:txbx>
                      <wps:bodyPr wrap="square" lIns="0" tIns="0" rIns="0" bIns="0" rtlCol="0">
                        <a:noAutofit/>
                      </wps:bodyPr>
                    </wps:wsp>
                  </a:graphicData>
                </a:graphic>
              </wp:anchor>
            </w:drawing>
          </mc:Choice>
          <mc:Fallback>
            <w:pict>
              <v:shape w14:anchorId="4607A605" id="Textbox 36" o:spid="_x0000_s1050" type="#_x0000_t202" style="position:absolute;margin-left:66.4pt;margin-top:8.55pt;width:479.4pt;height:65.8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" filled="f" strokeweight=".16931mm">
                <v:path arrowok="t"/>
                <v:textbox inset="0,0,0,0">
                  <w:txbxContent>
                    <w:p w14:paraId="5FBD6672" w14:textId="77777777" w:rsidR="00161C10" w:rsidRDefault="00CE2C8C">
                      <w:pPr>
                        <w:spacing w:before="19" w:line="276" w:lineRule="auto"/>
                        <w:ind w:left="108" w:right="112"/>
                        <w:jc w:val="both"/>
                        <w:rPr>
                          <w:rFonts w:ascii="Arial"/>
                          <w:b/>
                          <w:sz w:val="24"/>
                        </w:rPr>
                      </w:pPr>
                      <w:r>
                        <w:rPr>
                          <w:rFonts w:ascii="Arial"/>
                          <w:b/>
                          <w:sz w:val="24"/>
                        </w:rPr>
                        <w:t xml:space="preserve">The Committee recommends that the EU reinforces the implementation of the partnership principle in the next budgetary period, ensuring meaningful participation of disabled people and their representative </w:t>
                      </w:r>
                      <w:proofErr w:type="spellStart"/>
                      <w:r>
                        <w:rPr>
                          <w:rFonts w:ascii="Arial"/>
                          <w:b/>
                          <w:sz w:val="24"/>
                        </w:rPr>
                        <w:t>organisations</w:t>
                      </w:r>
                      <w:proofErr w:type="spellEnd"/>
                      <w:r>
                        <w:rPr>
                          <w:rFonts w:ascii="Arial"/>
                          <w:b/>
                          <w:sz w:val="24"/>
                        </w:rPr>
                        <w:t xml:space="preserve"> in national Monitoring Committees.</w:t>
                      </w:r>
                    </w:p>
                  </w:txbxContent>
                </v:textbox>
                <w10:wrap type="topAndBottom" anchorx="page"/>
              </v:shape>
            </w:pict>
          </mc:Fallback>
        </mc:AlternateContent>
      </w:r>
    </w:p>
    <w:p w14:paraId="25C572BC" w14:textId="77777777" w:rsidR="00161C10" w:rsidRDefault="00CE2C8C">
      <w:pPr>
        <w:pStyle w:val="Heading4"/>
        <w:numPr>
          <w:ilvl w:val="0"/>
          <w:numId w:val="7"/>
        </w:numPr>
        <w:tabs>
          <w:tab w:val="left" w:pos="1073"/>
        </w:tabs>
        <w:spacing w:before="248"/>
        <w:ind w:hanging="355"/>
        <w:jc w:val="left"/>
      </w:pPr>
      <w:r>
        <w:t>Reply</w:t>
      </w:r>
      <w:r>
        <w:rPr>
          <w:spacing w:val="-2"/>
        </w:rPr>
        <w:t xml:space="preserve"> </w:t>
      </w:r>
      <w:r>
        <w:t>to</w:t>
      </w:r>
      <w:r>
        <w:rPr>
          <w:spacing w:val="-2"/>
        </w:rPr>
        <w:t xml:space="preserve"> </w:t>
      </w:r>
      <w:r>
        <w:t>the</w:t>
      </w:r>
      <w:r>
        <w:rPr>
          <w:spacing w:val="-2"/>
        </w:rPr>
        <w:t xml:space="preserve"> </w:t>
      </w:r>
      <w:r>
        <w:t>issues</w:t>
      </w:r>
      <w:r>
        <w:rPr>
          <w:spacing w:val="-1"/>
        </w:rPr>
        <w:t xml:space="preserve"> </w:t>
      </w:r>
      <w:r>
        <w:t>raised</w:t>
      </w:r>
      <w:r>
        <w:rPr>
          <w:spacing w:val="-5"/>
        </w:rPr>
        <w:t xml:space="preserve"> </w:t>
      </w:r>
      <w:r>
        <w:t>in</w:t>
      </w:r>
      <w:r>
        <w:rPr>
          <w:spacing w:val="-2"/>
        </w:rPr>
        <w:t xml:space="preserve"> </w:t>
      </w:r>
      <w:r>
        <w:t>paragraph</w:t>
      </w:r>
      <w:r>
        <w:rPr>
          <w:spacing w:val="-2"/>
        </w:rPr>
        <w:t xml:space="preserve"> </w:t>
      </w:r>
      <w:r>
        <w:t>21e</w:t>
      </w:r>
      <w:r>
        <w:rPr>
          <w:spacing w:val="-1"/>
        </w:rPr>
        <w:t xml:space="preserve"> </w:t>
      </w:r>
      <w:r>
        <w:t>of</w:t>
      </w:r>
      <w:r>
        <w:rPr>
          <w:spacing w:val="-2"/>
        </w:rPr>
        <w:t xml:space="preserve"> </w:t>
      </w:r>
      <w:r>
        <w:t>the</w:t>
      </w:r>
      <w:r>
        <w:rPr>
          <w:spacing w:val="-2"/>
        </w:rPr>
        <w:t xml:space="preserve"> </w:t>
      </w:r>
      <w:r>
        <w:t>list</w:t>
      </w:r>
      <w:r>
        <w:rPr>
          <w:spacing w:val="-1"/>
        </w:rPr>
        <w:t xml:space="preserve"> </w:t>
      </w:r>
      <w:r>
        <w:t>of</w:t>
      </w:r>
      <w:r>
        <w:rPr>
          <w:spacing w:val="-4"/>
        </w:rPr>
        <w:t xml:space="preserve"> </w:t>
      </w:r>
      <w:r>
        <w:rPr>
          <w:spacing w:val="-2"/>
        </w:rPr>
        <w:t>issues</w:t>
      </w:r>
    </w:p>
    <w:p w14:paraId="22CF4CB2" w14:textId="77777777" w:rsidR="00161C10" w:rsidRDefault="00CE2C8C">
      <w:pPr>
        <w:spacing w:before="160" w:line="276" w:lineRule="auto"/>
        <w:ind w:left="360" w:right="352"/>
        <w:jc w:val="both"/>
        <w:rPr>
          <w:rFonts w:ascii="Arial" w:hAnsi="Arial"/>
          <w:i/>
          <w:sz w:val="24"/>
        </w:rPr>
      </w:pPr>
      <w:r>
        <w:rPr>
          <w:rFonts w:ascii="Arial" w:hAnsi="Arial"/>
          <w:i/>
          <w:sz w:val="24"/>
        </w:rPr>
        <w:t>The European Union states</w:t>
      </w:r>
      <w:r>
        <w:rPr>
          <w:rFonts w:ascii="Arial" w:hAnsi="Arial"/>
          <w:i/>
          <w:spacing w:val="-2"/>
          <w:sz w:val="24"/>
        </w:rPr>
        <w:t xml:space="preserve"> </w:t>
      </w:r>
      <w:r>
        <w:rPr>
          <w:rFonts w:ascii="Arial" w:hAnsi="Arial"/>
          <w:i/>
          <w:sz w:val="24"/>
        </w:rPr>
        <w:t>that “ensuring effective administrative</w:t>
      </w:r>
      <w:r>
        <w:rPr>
          <w:rFonts w:ascii="Arial" w:hAnsi="Arial"/>
          <w:i/>
          <w:spacing w:val="-1"/>
          <w:sz w:val="24"/>
        </w:rPr>
        <w:t xml:space="preserve"> </w:t>
      </w:r>
      <w:r>
        <w:rPr>
          <w:rFonts w:ascii="Arial" w:hAnsi="Arial"/>
          <w:i/>
          <w:sz w:val="24"/>
        </w:rPr>
        <w:t>or judicial procedures and access to justice is primarily the responsibility of MS.” It also states that the 2021 - 2027</w:t>
      </w:r>
      <w:r>
        <w:rPr>
          <w:rFonts w:ascii="Arial" w:hAnsi="Arial"/>
          <w:i/>
          <w:spacing w:val="-14"/>
          <w:sz w:val="24"/>
        </w:rPr>
        <w:t xml:space="preserve"> </w:t>
      </w:r>
      <w:r>
        <w:rPr>
          <w:rFonts w:ascii="Arial" w:hAnsi="Arial"/>
          <w:i/>
          <w:sz w:val="24"/>
        </w:rPr>
        <w:t>framework</w:t>
      </w:r>
      <w:r>
        <w:rPr>
          <w:rFonts w:ascii="Arial" w:hAnsi="Arial"/>
          <w:i/>
          <w:spacing w:val="-15"/>
          <w:sz w:val="24"/>
        </w:rPr>
        <w:t xml:space="preserve"> </w:t>
      </w:r>
      <w:r>
        <w:rPr>
          <w:rFonts w:ascii="Arial" w:hAnsi="Arial"/>
          <w:i/>
          <w:sz w:val="24"/>
        </w:rPr>
        <w:t>for</w:t>
      </w:r>
      <w:r>
        <w:rPr>
          <w:rFonts w:ascii="Arial" w:hAnsi="Arial"/>
          <w:i/>
          <w:spacing w:val="-16"/>
          <w:sz w:val="24"/>
        </w:rPr>
        <w:t xml:space="preserve"> </w:t>
      </w:r>
      <w:r>
        <w:rPr>
          <w:rFonts w:ascii="Arial" w:hAnsi="Arial"/>
          <w:i/>
          <w:sz w:val="24"/>
        </w:rPr>
        <w:t>cohesion</w:t>
      </w:r>
      <w:r>
        <w:rPr>
          <w:rFonts w:ascii="Arial" w:hAnsi="Arial"/>
          <w:i/>
          <w:spacing w:val="-16"/>
          <w:sz w:val="24"/>
        </w:rPr>
        <w:t xml:space="preserve"> </w:t>
      </w:r>
      <w:r>
        <w:rPr>
          <w:rFonts w:ascii="Arial" w:hAnsi="Arial"/>
          <w:i/>
          <w:sz w:val="24"/>
        </w:rPr>
        <w:t>policy</w:t>
      </w:r>
      <w:r>
        <w:rPr>
          <w:rFonts w:ascii="Arial" w:hAnsi="Arial"/>
          <w:i/>
          <w:spacing w:val="-15"/>
          <w:sz w:val="24"/>
        </w:rPr>
        <w:t xml:space="preserve"> </w:t>
      </w:r>
      <w:r>
        <w:rPr>
          <w:rFonts w:ascii="Arial" w:hAnsi="Arial"/>
          <w:i/>
          <w:sz w:val="24"/>
        </w:rPr>
        <w:t>funds</w:t>
      </w:r>
      <w:r>
        <w:rPr>
          <w:rFonts w:ascii="Arial" w:hAnsi="Arial"/>
          <w:i/>
          <w:spacing w:val="-15"/>
          <w:sz w:val="24"/>
        </w:rPr>
        <w:t xml:space="preserve"> </w:t>
      </w:r>
      <w:r>
        <w:rPr>
          <w:rFonts w:ascii="Arial" w:hAnsi="Arial"/>
          <w:i/>
          <w:sz w:val="24"/>
        </w:rPr>
        <w:t>“includes</w:t>
      </w:r>
      <w:r>
        <w:rPr>
          <w:rFonts w:ascii="Arial" w:hAnsi="Arial"/>
          <w:i/>
          <w:spacing w:val="-15"/>
          <w:sz w:val="24"/>
        </w:rPr>
        <w:t xml:space="preserve"> </w:t>
      </w:r>
      <w:r>
        <w:rPr>
          <w:rFonts w:ascii="Arial" w:hAnsi="Arial"/>
          <w:i/>
          <w:sz w:val="24"/>
        </w:rPr>
        <w:t>a</w:t>
      </w:r>
      <w:r>
        <w:rPr>
          <w:rFonts w:ascii="Arial" w:hAnsi="Arial"/>
          <w:i/>
          <w:spacing w:val="-17"/>
          <w:sz w:val="24"/>
        </w:rPr>
        <w:t xml:space="preserve"> </w:t>
      </w:r>
      <w:r>
        <w:rPr>
          <w:rFonts w:ascii="Arial" w:hAnsi="Arial"/>
          <w:i/>
          <w:sz w:val="24"/>
        </w:rPr>
        <w:t>horizontal</w:t>
      </w:r>
      <w:r>
        <w:rPr>
          <w:rFonts w:ascii="Arial" w:hAnsi="Arial"/>
          <w:i/>
          <w:spacing w:val="-14"/>
          <w:sz w:val="24"/>
        </w:rPr>
        <w:t xml:space="preserve"> </w:t>
      </w:r>
      <w:r>
        <w:rPr>
          <w:rFonts w:ascii="Arial" w:hAnsi="Arial"/>
          <w:i/>
          <w:sz w:val="24"/>
        </w:rPr>
        <w:t>enabling</w:t>
      </w:r>
      <w:r>
        <w:rPr>
          <w:rFonts w:ascii="Arial" w:hAnsi="Arial"/>
          <w:i/>
          <w:spacing w:val="-14"/>
          <w:sz w:val="24"/>
        </w:rPr>
        <w:t xml:space="preserve"> </w:t>
      </w:r>
      <w:r>
        <w:rPr>
          <w:rFonts w:ascii="Arial" w:hAnsi="Arial"/>
          <w:i/>
          <w:sz w:val="24"/>
        </w:rPr>
        <w:t>condition</w:t>
      </w:r>
      <w:r>
        <w:rPr>
          <w:rFonts w:ascii="Arial" w:hAnsi="Arial"/>
          <w:i/>
          <w:spacing w:val="-16"/>
          <w:sz w:val="24"/>
        </w:rPr>
        <w:t xml:space="preserve"> </w:t>
      </w:r>
      <w:r>
        <w:rPr>
          <w:rFonts w:ascii="Arial" w:hAnsi="Arial"/>
          <w:i/>
          <w:sz w:val="24"/>
        </w:rPr>
        <w:t>on</w:t>
      </w:r>
      <w:r>
        <w:rPr>
          <w:rFonts w:ascii="Arial" w:hAnsi="Arial"/>
          <w:i/>
          <w:spacing w:val="-14"/>
          <w:sz w:val="24"/>
        </w:rPr>
        <w:t xml:space="preserve"> </w:t>
      </w:r>
      <w:r>
        <w:rPr>
          <w:rFonts w:ascii="Arial" w:hAnsi="Arial"/>
          <w:i/>
          <w:sz w:val="24"/>
        </w:rPr>
        <w:t>the effective application and implementation of the Charter.”</w:t>
      </w:r>
    </w:p>
    <w:p w14:paraId="05BE1D90" w14:textId="77777777" w:rsidR="00161C10" w:rsidRDefault="00CE2C8C">
      <w:pPr>
        <w:pStyle w:val="BodyText"/>
        <w:spacing w:before="120" w:line="276" w:lineRule="auto"/>
        <w:ind w:left="360" w:right="362"/>
        <w:jc w:val="both"/>
      </w:pPr>
      <w:r>
        <w:t>While</w:t>
      </w:r>
      <w:r>
        <w:rPr>
          <w:spacing w:val="-3"/>
        </w:rPr>
        <w:t xml:space="preserve"> </w:t>
      </w:r>
      <w:r>
        <w:t>it</w:t>
      </w:r>
      <w:r>
        <w:rPr>
          <w:spacing w:val="-5"/>
        </w:rPr>
        <w:t xml:space="preserve"> </w:t>
      </w:r>
      <w:r>
        <w:t>is</w:t>
      </w:r>
      <w:r>
        <w:rPr>
          <w:spacing w:val="-3"/>
        </w:rPr>
        <w:t xml:space="preserve"> </w:t>
      </w:r>
      <w:r>
        <w:t>true</w:t>
      </w:r>
      <w:r>
        <w:rPr>
          <w:spacing w:val="-5"/>
        </w:rPr>
        <w:t xml:space="preserve"> </w:t>
      </w:r>
      <w:r>
        <w:t>that</w:t>
      </w:r>
      <w:r>
        <w:rPr>
          <w:spacing w:val="-5"/>
        </w:rPr>
        <w:t xml:space="preserve"> </w:t>
      </w:r>
      <w:r>
        <w:t>effective</w:t>
      </w:r>
      <w:r>
        <w:rPr>
          <w:spacing w:val="-3"/>
        </w:rPr>
        <w:t xml:space="preserve"> </w:t>
      </w:r>
      <w:r>
        <w:t>administrative</w:t>
      </w:r>
      <w:r>
        <w:rPr>
          <w:spacing w:val="-5"/>
        </w:rPr>
        <w:t xml:space="preserve"> </w:t>
      </w:r>
      <w:r>
        <w:t>or</w:t>
      </w:r>
      <w:r>
        <w:rPr>
          <w:spacing w:val="-3"/>
        </w:rPr>
        <w:t xml:space="preserve"> </w:t>
      </w:r>
      <w:r>
        <w:t>judicial</w:t>
      </w:r>
      <w:r>
        <w:rPr>
          <w:spacing w:val="-3"/>
        </w:rPr>
        <w:t xml:space="preserve"> </w:t>
      </w:r>
      <w:r>
        <w:t>procedures</w:t>
      </w:r>
      <w:r>
        <w:rPr>
          <w:spacing w:val="-3"/>
        </w:rPr>
        <w:t xml:space="preserve"> </w:t>
      </w:r>
      <w:r>
        <w:t>are</w:t>
      </w:r>
      <w:r>
        <w:rPr>
          <w:spacing w:val="-8"/>
        </w:rPr>
        <w:t xml:space="preserve"> </w:t>
      </w:r>
      <w:r>
        <w:t>the</w:t>
      </w:r>
      <w:r>
        <w:rPr>
          <w:spacing w:val="-3"/>
        </w:rPr>
        <w:t xml:space="preserve"> </w:t>
      </w:r>
      <w:r>
        <w:t>responsibility</w:t>
      </w:r>
      <w:r>
        <w:rPr>
          <w:spacing w:val="-3"/>
        </w:rPr>
        <w:t xml:space="preserve"> </w:t>
      </w:r>
      <w:r>
        <w:t>of Member States, there are actions that the European Commission is failing to take in its responsibility to monitor EU funding.</w:t>
      </w:r>
    </w:p>
    <w:p w14:paraId="6980C912" w14:textId="77777777" w:rsidR="00161C10" w:rsidRDefault="00CE2C8C">
      <w:pPr>
        <w:spacing w:before="118" w:line="276" w:lineRule="auto"/>
        <w:ind w:left="360" w:right="352"/>
        <w:jc w:val="both"/>
        <w:rPr>
          <w:sz w:val="24"/>
        </w:rPr>
      </w:pPr>
      <w:r>
        <w:rPr>
          <w:sz w:val="24"/>
        </w:rPr>
        <w:t xml:space="preserve">As stated earlier in the document, there is a procedure to </w:t>
      </w:r>
      <w:hyperlink r:id="rId96">
        <w:r>
          <w:rPr>
            <w:color w:val="1154CC"/>
            <w:sz w:val="24"/>
            <w:u w:val="single" w:color="1154CC"/>
          </w:rPr>
          <w:t>report breaches of EU law</w:t>
        </w:r>
      </w:hyperlink>
      <w:r>
        <w:rPr>
          <w:color w:val="1154CC"/>
          <w:sz w:val="24"/>
        </w:rPr>
        <w:t xml:space="preserve"> </w:t>
      </w:r>
      <w:r>
        <w:rPr>
          <w:sz w:val="24"/>
        </w:rPr>
        <w:t xml:space="preserve">by an EU country to the Commission, which can be used for cases of misuse of EU funds. ENIL has made use of this procedure on a </w:t>
      </w:r>
      <w:proofErr w:type="gramStart"/>
      <w:r>
        <w:rPr>
          <w:sz w:val="24"/>
        </w:rPr>
        <w:t>number</w:t>
      </w:r>
      <w:proofErr w:type="gramEnd"/>
      <w:r>
        <w:rPr>
          <w:sz w:val="24"/>
        </w:rPr>
        <w:t xml:space="preserve"> occasions to challenge investments in</w:t>
      </w:r>
      <w:r>
        <w:rPr>
          <w:spacing w:val="-6"/>
          <w:sz w:val="24"/>
        </w:rPr>
        <w:t xml:space="preserve"> </w:t>
      </w:r>
      <w:r>
        <w:rPr>
          <w:sz w:val="24"/>
        </w:rPr>
        <w:t>institutions</w:t>
      </w:r>
      <w:r>
        <w:rPr>
          <w:spacing w:val="-9"/>
          <w:sz w:val="24"/>
        </w:rPr>
        <w:t xml:space="preserve"> </w:t>
      </w:r>
      <w:r>
        <w:rPr>
          <w:sz w:val="24"/>
        </w:rPr>
        <w:t>-</w:t>
      </w:r>
      <w:r>
        <w:rPr>
          <w:spacing w:val="-7"/>
          <w:sz w:val="24"/>
        </w:rPr>
        <w:t xml:space="preserve"> </w:t>
      </w:r>
      <w:r>
        <w:rPr>
          <w:sz w:val="24"/>
        </w:rPr>
        <w:t>including</w:t>
      </w:r>
      <w:r>
        <w:rPr>
          <w:spacing w:val="-6"/>
          <w:sz w:val="24"/>
        </w:rPr>
        <w:t xml:space="preserve"> </w:t>
      </w:r>
      <w:r>
        <w:rPr>
          <w:sz w:val="24"/>
        </w:rPr>
        <w:t>for</w:t>
      </w:r>
      <w:r>
        <w:rPr>
          <w:spacing w:val="-7"/>
          <w:sz w:val="24"/>
        </w:rPr>
        <w:t xml:space="preserve"> </w:t>
      </w:r>
      <w:r>
        <w:rPr>
          <w:sz w:val="24"/>
        </w:rPr>
        <w:t>children</w:t>
      </w:r>
      <w:r>
        <w:rPr>
          <w:spacing w:val="-4"/>
          <w:sz w:val="24"/>
        </w:rPr>
        <w:t xml:space="preserve"> </w:t>
      </w:r>
      <w:r>
        <w:rPr>
          <w:sz w:val="24"/>
        </w:rPr>
        <w:t>-</w:t>
      </w:r>
      <w:r>
        <w:rPr>
          <w:spacing w:val="-10"/>
          <w:sz w:val="24"/>
        </w:rPr>
        <w:t xml:space="preserve"> </w:t>
      </w:r>
      <w:r>
        <w:rPr>
          <w:sz w:val="24"/>
        </w:rPr>
        <w:t>but</w:t>
      </w:r>
      <w:r>
        <w:rPr>
          <w:spacing w:val="-9"/>
          <w:sz w:val="24"/>
        </w:rPr>
        <w:t xml:space="preserve"> </w:t>
      </w:r>
      <w:r>
        <w:rPr>
          <w:sz w:val="24"/>
        </w:rPr>
        <w:t>the</w:t>
      </w:r>
      <w:r>
        <w:rPr>
          <w:spacing w:val="-11"/>
          <w:sz w:val="24"/>
        </w:rPr>
        <w:t xml:space="preserve"> </w:t>
      </w:r>
      <w:r>
        <w:rPr>
          <w:sz w:val="24"/>
        </w:rPr>
        <w:t>Commission</w:t>
      </w:r>
      <w:r>
        <w:rPr>
          <w:spacing w:val="-8"/>
          <w:sz w:val="24"/>
        </w:rPr>
        <w:t xml:space="preserve"> </w:t>
      </w:r>
      <w:r>
        <w:rPr>
          <w:sz w:val="24"/>
        </w:rPr>
        <w:t>has</w:t>
      </w:r>
      <w:r>
        <w:rPr>
          <w:spacing w:val="-9"/>
          <w:sz w:val="24"/>
        </w:rPr>
        <w:t xml:space="preserve"> </w:t>
      </w:r>
      <w:r>
        <w:rPr>
          <w:sz w:val="24"/>
        </w:rPr>
        <w:t>not</w:t>
      </w:r>
      <w:r>
        <w:rPr>
          <w:spacing w:val="-9"/>
          <w:sz w:val="24"/>
        </w:rPr>
        <w:t xml:space="preserve"> </w:t>
      </w:r>
      <w:r>
        <w:rPr>
          <w:sz w:val="24"/>
        </w:rPr>
        <w:t>found</w:t>
      </w:r>
      <w:r>
        <w:rPr>
          <w:spacing w:val="-8"/>
          <w:sz w:val="24"/>
        </w:rPr>
        <w:t xml:space="preserve"> </w:t>
      </w:r>
      <w:r>
        <w:rPr>
          <w:sz w:val="24"/>
        </w:rPr>
        <w:t>any</w:t>
      </w:r>
      <w:r>
        <w:rPr>
          <w:spacing w:val="-9"/>
          <w:sz w:val="24"/>
        </w:rPr>
        <w:t xml:space="preserve"> </w:t>
      </w:r>
      <w:r>
        <w:rPr>
          <w:sz w:val="24"/>
        </w:rPr>
        <w:t>violations</w:t>
      </w:r>
      <w:r>
        <w:rPr>
          <w:spacing w:val="-9"/>
          <w:sz w:val="24"/>
        </w:rPr>
        <w:t xml:space="preserve"> </w:t>
      </w:r>
      <w:r>
        <w:rPr>
          <w:sz w:val="24"/>
        </w:rPr>
        <w:t>of the Charter or the UNCRPD. Mostly, the European Commission has referred to the shared</w:t>
      </w:r>
      <w:r>
        <w:rPr>
          <w:spacing w:val="-14"/>
          <w:sz w:val="24"/>
        </w:rPr>
        <w:t xml:space="preserve"> </w:t>
      </w:r>
      <w:r>
        <w:rPr>
          <w:sz w:val="24"/>
        </w:rPr>
        <w:t>management</w:t>
      </w:r>
      <w:r>
        <w:rPr>
          <w:spacing w:val="-14"/>
          <w:sz w:val="24"/>
        </w:rPr>
        <w:t xml:space="preserve"> </w:t>
      </w:r>
      <w:r>
        <w:rPr>
          <w:sz w:val="24"/>
        </w:rPr>
        <w:t>principle</w:t>
      </w:r>
      <w:r>
        <w:rPr>
          <w:spacing w:val="-12"/>
          <w:sz w:val="24"/>
        </w:rPr>
        <w:t xml:space="preserve"> </w:t>
      </w:r>
      <w:r>
        <w:rPr>
          <w:sz w:val="24"/>
        </w:rPr>
        <w:t>to</w:t>
      </w:r>
      <w:r>
        <w:rPr>
          <w:spacing w:val="-11"/>
          <w:sz w:val="24"/>
        </w:rPr>
        <w:t xml:space="preserve"> </w:t>
      </w:r>
      <w:r>
        <w:rPr>
          <w:sz w:val="24"/>
        </w:rPr>
        <w:t>avoid</w:t>
      </w:r>
      <w:r>
        <w:rPr>
          <w:spacing w:val="-12"/>
          <w:sz w:val="24"/>
        </w:rPr>
        <w:t xml:space="preserve"> </w:t>
      </w:r>
      <w:r>
        <w:rPr>
          <w:sz w:val="24"/>
        </w:rPr>
        <w:t>responsibility,</w:t>
      </w:r>
      <w:r>
        <w:rPr>
          <w:spacing w:val="-12"/>
          <w:sz w:val="24"/>
        </w:rPr>
        <w:t xml:space="preserve"> </w:t>
      </w:r>
      <w:r>
        <w:rPr>
          <w:sz w:val="24"/>
        </w:rPr>
        <w:t>and</w:t>
      </w:r>
      <w:r>
        <w:rPr>
          <w:spacing w:val="-12"/>
          <w:sz w:val="24"/>
        </w:rPr>
        <w:t xml:space="preserve"> </w:t>
      </w:r>
      <w:r>
        <w:rPr>
          <w:sz w:val="24"/>
        </w:rPr>
        <w:t>has</w:t>
      </w:r>
      <w:r>
        <w:rPr>
          <w:spacing w:val="-13"/>
          <w:sz w:val="24"/>
        </w:rPr>
        <w:t xml:space="preserve"> </w:t>
      </w:r>
      <w:r>
        <w:rPr>
          <w:sz w:val="24"/>
        </w:rPr>
        <w:t>admitted</w:t>
      </w:r>
      <w:r>
        <w:rPr>
          <w:spacing w:val="-12"/>
          <w:sz w:val="24"/>
        </w:rPr>
        <w:t xml:space="preserve"> </w:t>
      </w:r>
      <w:r>
        <w:rPr>
          <w:sz w:val="24"/>
        </w:rPr>
        <w:t>that</w:t>
      </w:r>
      <w:r>
        <w:rPr>
          <w:spacing w:val="-12"/>
          <w:sz w:val="24"/>
        </w:rPr>
        <w:t xml:space="preserve"> </w:t>
      </w:r>
      <w:r>
        <w:rPr>
          <w:sz w:val="24"/>
        </w:rPr>
        <w:t>they</w:t>
      </w:r>
      <w:r>
        <w:rPr>
          <w:spacing w:val="-13"/>
          <w:sz w:val="24"/>
        </w:rPr>
        <w:t xml:space="preserve"> </w:t>
      </w:r>
      <w:r>
        <w:rPr>
          <w:sz w:val="24"/>
        </w:rPr>
        <w:t>consider investments into institutions acceptable: “</w:t>
      </w:r>
      <w:r>
        <w:rPr>
          <w:rFonts w:ascii="Arial" w:hAnsi="Arial"/>
          <w:i/>
          <w:sz w:val="24"/>
        </w:rPr>
        <w:t>in the Commission’s view, promoting the transition from institutional to community-based services might require in some cases transitory solutions aiming at securing healthy and secure living conditions all along this process without</w:t>
      </w:r>
      <w:r>
        <w:rPr>
          <w:rFonts w:ascii="Arial" w:hAnsi="Arial"/>
          <w:i/>
          <w:spacing w:val="-2"/>
          <w:sz w:val="24"/>
        </w:rPr>
        <w:t xml:space="preserve"> </w:t>
      </w:r>
      <w:r>
        <w:rPr>
          <w:rFonts w:ascii="Arial" w:hAnsi="Arial"/>
          <w:i/>
          <w:sz w:val="24"/>
        </w:rPr>
        <w:t>undermining the</w:t>
      </w:r>
      <w:r>
        <w:rPr>
          <w:rFonts w:ascii="Arial" w:hAnsi="Arial"/>
          <w:i/>
          <w:spacing w:val="-2"/>
          <w:sz w:val="24"/>
        </w:rPr>
        <w:t xml:space="preserve"> </w:t>
      </w:r>
      <w:r>
        <w:rPr>
          <w:rFonts w:ascii="Arial" w:hAnsi="Arial"/>
          <w:i/>
          <w:sz w:val="24"/>
        </w:rPr>
        <w:t>overall</w:t>
      </w:r>
      <w:r>
        <w:rPr>
          <w:rFonts w:ascii="Arial" w:hAnsi="Arial"/>
          <w:i/>
          <w:spacing w:val="-2"/>
          <w:sz w:val="24"/>
        </w:rPr>
        <w:t xml:space="preserve"> </w:t>
      </w:r>
      <w:r>
        <w:rPr>
          <w:rFonts w:ascii="Arial" w:hAnsi="Arial"/>
          <w:i/>
          <w:sz w:val="24"/>
        </w:rPr>
        <w:t>aim</w:t>
      </w:r>
      <w:r>
        <w:rPr>
          <w:rFonts w:ascii="Arial" w:hAnsi="Arial"/>
          <w:i/>
          <w:spacing w:val="-4"/>
          <w:sz w:val="24"/>
        </w:rPr>
        <w:t xml:space="preserve"> </w:t>
      </w:r>
      <w:r>
        <w:rPr>
          <w:rFonts w:ascii="Arial" w:hAnsi="Arial"/>
          <w:i/>
          <w:sz w:val="24"/>
        </w:rPr>
        <w:t>of Article</w:t>
      </w:r>
      <w:r>
        <w:rPr>
          <w:rFonts w:ascii="Arial" w:hAnsi="Arial"/>
          <w:i/>
          <w:spacing w:val="-2"/>
          <w:sz w:val="24"/>
        </w:rPr>
        <w:t xml:space="preserve"> </w:t>
      </w:r>
      <w:r>
        <w:rPr>
          <w:rFonts w:ascii="Arial" w:hAnsi="Arial"/>
          <w:i/>
          <w:sz w:val="24"/>
        </w:rPr>
        <w:t>19</w:t>
      </w:r>
      <w:r>
        <w:rPr>
          <w:rFonts w:ascii="Arial" w:hAnsi="Arial"/>
          <w:i/>
          <w:spacing w:val="-1"/>
          <w:sz w:val="24"/>
        </w:rPr>
        <w:t xml:space="preserve"> </w:t>
      </w:r>
      <w:r>
        <w:rPr>
          <w:rFonts w:ascii="Arial" w:hAnsi="Arial"/>
          <w:i/>
          <w:sz w:val="24"/>
        </w:rPr>
        <w:t>UNCRPD</w:t>
      </w:r>
      <w:r>
        <w:rPr>
          <w:sz w:val="24"/>
        </w:rPr>
        <w:t>”</w:t>
      </w:r>
      <w:r>
        <w:rPr>
          <w:spacing w:val="-1"/>
          <w:sz w:val="24"/>
        </w:rPr>
        <w:t xml:space="preserve"> </w:t>
      </w:r>
      <w:r>
        <w:rPr>
          <w:sz w:val="24"/>
        </w:rPr>
        <w:t>(</w:t>
      </w:r>
      <w:r>
        <w:rPr>
          <w:rFonts w:ascii="Arial" w:hAnsi="Arial"/>
          <w:i/>
          <w:sz w:val="24"/>
        </w:rPr>
        <w:t>see</w:t>
      </w:r>
      <w:r>
        <w:rPr>
          <w:rFonts w:ascii="Arial" w:hAnsi="Arial"/>
          <w:i/>
          <w:spacing w:val="-2"/>
          <w:sz w:val="24"/>
        </w:rPr>
        <w:t xml:space="preserve"> </w:t>
      </w:r>
      <w:r>
        <w:rPr>
          <w:rFonts w:ascii="Arial" w:hAnsi="Arial"/>
          <w:i/>
          <w:sz w:val="24"/>
        </w:rPr>
        <w:t>Annex</w:t>
      </w:r>
      <w:r>
        <w:rPr>
          <w:rFonts w:ascii="Arial" w:hAnsi="Arial"/>
          <w:i/>
          <w:spacing w:val="-2"/>
          <w:sz w:val="24"/>
        </w:rPr>
        <w:t xml:space="preserve"> </w:t>
      </w:r>
      <w:r>
        <w:rPr>
          <w:rFonts w:ascii="Arial" w:hAnsi="Arial"/>
          <w:i/>
          <w:sz w:val="24"/>
        </w:rPr>
        <w:t>II</w:t>
      </w:r>
      <w:r>
        <w:rPr>
          <w:sz w:val="24"/>
        </w:rPr>
        <w:t>). This view is not substantiated by any provisions of the UNCRPD, General Comment 5 or the Guidelines on deinstitutionalisation, including in Emergencies.</w:t>
      </w:r>
    </w:p>
    <w:p w14:paraId="0CAE9461" w14:textId="77777777" w:rsidR="00161C10" w:rsidRDefault="00CE2C8C">
      <w:pPr>
        <w:pStyle w:val="BodyText"/>
        <w:spacing w:before="121" w:line="276" w:lineRule="auto"/>
        <w:ind w:left="360" w:right="352"/>
        <w:jc w:val="both"/>
      </w:pPr>
      <w:r>
        <w:t xml:space="preserve">In examining ENIL’s complaints, the Commission has given priority to the self- assessment of the Managing Authorities (on whether they violate the UNCRPD/EU law or not) and has dismissed evidence by independent human rights institutions and disabled people’s </w:t>
      </w:r>
      <w:proofErr w:type="spellStart"/>
      <w:r>
        <w:t>organisations</w:t>
      </w:r>
      <w:proofErr w:type="spellEnd"/>
      <w:r>
        <w:t>.</w:t>
      </w:r>
    </w:p>
    <w:p w14:paraId="207F02BD" w14:textId="77777777" w:rsidR="00161C10" w:rsidRDefault="00CE2C8C">
      <w:pPr>
        <w:pStyle w:val="BodyText"/>
        <w:spacing w:before="120" w:line="276" w:lineRule="auto"/>
        <w:ind w:left="360" w:right="354"/>
        <w:jc w:val="both"/>
      </w:pPr>
      <w:r>
        <w:t xml:space="preserve">The challenge of disabled people accessing justice is also demonstrated by the </w:t>
      </w:r>
      <w:hyperlink r:id="rId97">
        <w:r>
          <w:rPr>
            <w:color w:val="1154CC"/>
            <w:u w:val="single" w:color="1154CC"/>
          </w:rPr>
          <w:t>case</w:t>
        </w:r>
      </w:hyperlink>
      <w:r>
        <w:rPr>
          <w:color w:val="1154CC"/>
        </w:rPr>
        <w:t xml:space="preserve"> </w:t>
      </w:r>
      <w:r>
        <w:t>which ENIL, the Centre for Independent Living Sofia and the Validity Foundation took to the</w:t>
      </w:r>
      <w:r>
        <w:rPr>
          <w:spacing w:val="-11"/>
        </w:rPr>
        <w:t xml:space="preserve"> </w:t>
      </w:r>
      <w:r>
        <w:t>European</w:t>
      </w:r>
      <w:r>
        <w:rPr>
          <w:spacing w:val="-11"/>
        </w:rPr>
        <w:t xml:space="preserve"> </w:t>
      </w:r>
      <w:r>
        <w:t>Court</w:t>
      </w:r>
      <w:r>
        <w:rPr>
          <w:spacing w:val="-12"/>
        </w:rPr>
        <w:t xml:space="preserve"> </w:t>
      </w:r>
      <w:r>
        <w:t>of</w:t>
      </w:r>
      <w:r>
        <w:rPr>
          <w:spacing w:val="-13"/>
        </w:rPr>
        <w:t xml:space="preserve"> </w:t>
      </w:r>
      <w:r>
        <w:t>Justice</w:t>
      </w:r>
      <w:r>
        <w:rPr>
          <w:spacing w:val="-11"/>
        </w:rPr>
        <w:t xml:space="preserve"> </w:t>
      </w:r>
      <w:r>
        <w:t>in</w:t>
      </w:r>
      <w:r>
        <w:rPr>
          <w:spacing w:val="-11"/>
        </w:rPr>
        <w:t xml:space="preserve"> </w:t>
      </w:r>
      <w:r>
        <w:t>2019,</w:t>
      </w:r>
      <w:r>
        <w:rPr>
          <w:spacing w:val="-11"/>
        </w:rPr>
        <w:t xml:space="preserve"> </w:t>
      </w:r>
      <w:r>
        <w:t>challenging</w:t>
      </w:r>
      <w:r>
        <w:rPr>
          <w:spacing w:val="-13"/>
        </w:rPr>
        <w:t xml:space="preserve"> </w:t>
      </w:r>
      <w:r>
        <w:t>the</w:t>
      </w:r>
      <w:r>
        <w:rPr>
          <w:spacing w:val="-13"/>
        </w:rPr>
        <w:t xml:space="preserve"> </w:t>
      </w:r>
      <w:r>
        <w:t>use</w:t>
      </w:r>
      <w:r>
        <w:rPr>
          <w:spacing w:val="-13"/>
        </w:rPr>
        <w:t xml:space="preserve"> </w:t>
      </w:r>
      <w:r>
        <w:t>of</w:t>
      </w:r>
      <w:r>
        <w:rPr>
          <w:spacing w:val="-11"/>
        </w:rPr>
        <w:t xml:space="preserve"> </w:t>
      </w:r>
      <w:r>
        <w:t>EU</w:t>
      </w:r>
      <w:r>
        <w:rPr>
          <w:spacing w:val="-12"/>
        </w:rPr>
        <w:t xml:space="preserve"> </w:t>
      </w:r>
      <w:r>
        <w:t>funds</w:t>
      </w:r>
      <w:r>
        <w:rPr>
          <w:spacing w:val="-12"/>
        </w:rPr>
        <w:t xml:space="preserve"> </w:t>
      </w:r>
      <w:r>
        <w:t>for</w:t>
      </w:r>
      <w:r>
        <w:rPr>
          <w:spacing w:val="-15"/>
        </w:rPr>
        <w:t xml:space="preserve"> </w:t>
      </w:r>
      <w:r>
        <w:t>building</w:t>
      </w:r>
      <w:r>
        <w:rPr>
          <w:spacing w:val="-13"/>
        </w:rPr>
        <w:t xml:space="preserve"> </w:t>
      </w:r>
      <w:r>
        <w:t>small- group homes in Bulgaria. The Court found that ENIL and others</w:t>
      </w:r>
      <w:r>
        <w:rPr>
          <w:spacing w:val="-1"/>
        </w:rPr>
        <w:t xml:space="preserve"> </w:t>
      </w:r>
      <w:r>
        <w:t xml:space="preserve">had no standing, as the claimants should be the people directly affected. This is </w:t>
      </w:r>
      <w:proofErr w:type="gramStart"/>
      <w:r>
        <w:t>despite the</w:t>
      </w:r>
      <w:r>
        <w:rPr>
          <w:spacing w:val="-1"/>
        </w:rPr>
        <w:t xml:space="preserve"> </w:t>
      </w:r>
      <w:r>
        <w:t>fact that</w:t>
      </w:r>
      <w:proofErr w:type="gramEnd"/>
      <w:r>
        <w:t xml:space="preserve"> most of the</w:t>
      </w:r>
    </w:p>
    <w:p w14:paraId="4398DAA9" w14:textId="77777777" w:rsidR="00161C10" w:rsidRDefault="00161C10">
      <w:pPr>
        <w:pStyle w:val="BodyText"/>
        <w:spacing w:line="276" w:lineRule="auto"/>
        <w:jc w:val="both"/>
        <w:sectPr w:rsidR="00161C10">
          <w:pgSz w:w="12240" w:h="15840"/>
          <w:pgMar w:top="1360" w:right="1080" w:bottom="1540" w:left="1080" w:header="0" w:footer="1274" w:gutter="0"/>
          <w:cols w:space="720"/>
        </w:sectPr>
      </w:pPr>
    </w:p>
    <w:p w14:paraId="5A09629B" w14:textId="77777777" w:rsidR="00161C10" w:rsidRDefault="00CE2C8C">
      <w:pPr>
        <w:pStyle w:val="BodyText"/>
        <w:spacing w:before="81" w:line="271" w:lineRule="auto"/>
        <w:ind w:left="360" w:right="366"/>
        <w:jc w:val="both"/>
        <w:rPr>
          <w:position w:val="8"/>
          <w:sz w:val="16"/>
        </w:rPr>
      </w:pPr>
      <w:r>
        <w:lastRenderedPageBreak/>
        <w:t>people</w:t>
      </w:r>
      <w:r>
        <w:rPr>
          <w:spacing w:val="-1"/>
        </w:rPr>
        <w:t xml:space="preserve"> </w:t>
      </w:r>
      <w:r>
        <w:t>directly affected have</w:t>
      </w:r>
      <w:r>
        <w:rPr>
          <w:spacing w:val="-1"/>
        </w:rPr>
        <w:t xml:space="preserve"> </w:t>
      </w:r>
      <w:r>
        <w:t>been</w:t>
      </w:r>
      <w:r>
        <w:rPr>
          <w:spacing w:val="-1"/>
        </w:rPr>
        <w:t xml:space="preserve"> </w:t>
      </w:r>
      <w:r>
        <w:t>deprived</w:t>
      </w:r>
      <w:r>
        <w:rPr>
          <w:spacing w:val="-3"/>
        </w:rPr>
        <w:t xml:space="preserve"> </w:t>
      </w:r>
      <w:r>
        <w:t>of legal capacity</w:t>
      </w:r>
      <w:r>
        <w:rPr>
          <w:spacing w:val="-2"/>
        </w:rPr>
        <w:t xml:space="preserve"> </w:t>
      </w:r>
      <w:r>
        <w:t>and</w:t>
      </w:r>
      <w:r>
        <w:rPr>
          <w:spacing w:val="-1"/>
        </w:rPr>
        <w:t xml:space="preserve"> </w:t>
      </w:r>
      <w:r>
        <w:t>therefore cannot</w:t>
      </w:r>
      <w:r>
        <w:rPr>
          <w:spacing w:val="-1"/>
        </w:rPr>
        <w:t xml:space="preserve"> </w:t>
      </w:r>
      <w:r>
        <w:t>bring a claim themselves to a court of justice.</w:t>
      </w:r>
      <w:hyperlink w:anchor="_bookmark11" w:history="1">
        <w:r>
          <w:rPr>
            <w:position w:val="8"/>
            <w:sz w:val="16"/>
          </w:rPr>
          <w:t>12</w:t>
        </w:r>
      </w:hyperlink>
    </w:p>
    <w:p w14:paraId="3518ACA6" w14:textId="77777777" w:rsidR="00161C10" w:rsidRDefault="00CE2C8C">
      <w:pPr>
        <w:spacing w:before="125" w:line="276" w:lineRule="auto"/>
        <w:ind w:left="360" w:right="358"/>
        <w:jc w:val="both"/>
        <w:rPr>
          <w:sz w:val="24"/>
        </w:rPr>
      </w:pPr>
      <w:proofErr w:type="gramStart"/>
      <w:r>
        <w:rPr>
          <w:sz w:val="24"/>
        </w:rPr>
        <w:t>With regard to</w:t>
      </w:r>
      <w:proofErr w:type="gramEnd"/>
      <w:r>
        <w:rPr>
          <w:sz w:val="24"/>
        </w:rPr>
        <w:t xml:space="preserve"> the Charter, which the EU report notes is an enabling condition, the Commission</w:t>
      </w:r>
      <w:r>
        <w:rPr>
          <w:spacing w:val="-3"/>
          <w:sz w:val="24"/>
        </w:rPr>
        <w:t xml:space="preserve"> </w:t>
      </w:r>
      <w:r>
        <w:rPr>
          <w:sz w:val="24"/>
        </w:rPr>
        <w:t>has</w:t>
      </w:r>
      <w:r>
        <w:rPr>
          <w:spacing w:val="-3"/>
          <w:sz w:val="24"/>
        </w:rPr>
        <w:t xml:space="preserve"> </w:t>
      </w:r>
      <w:r>
        <w:rPr>
          <w:sz w:val="24"/>
        </w:rPr>
        <w:t>questioned</w:t>
      </w:r>
      <w:r>
        <w:rPr>
          <w:spacing w:val="-2"/>
          <w:sz w:val="24"/>
        </w:rPr>
        <w:t xml:space="preserve"> </w:t>
      </w:r>
      <w:r>
        <w:rPr>
          <w:sz w:val="24"/>
        </w:rPr>
        <w:t>the applicability</w:t>
      </w:r>
      <w:r>
        <w:rPr>
          <w:spacing w:val="-1"/>
          <w:sz w:val="24"/>
        </w:rPr>
        <w:t xml:space="preserve"> </w:t>
      </w:r>
      <w:r>
        <w:rPr>
          <w:sz w:val="24"/>
        </w:rPr>
        <w:t>of the Charter</w:t>
      </w:r>
      <w:r>
        <w:rPr>
          <w:spacing w:val="-2"/>
          <w:sz w:val="24"/>
        </w:rPr>
        <w:t xml:space="preserve"> </w:t>
      </w:r>
      <w:r>
        <w:rPr>
          <w:sz w:val="24"/>
        </w:rPr>
        <w:t>in</w:t>
      </w:r>
      <w:r>
        <w:rPr>
          <w:spacing w:val="-3"/>
          <w:sz w:val="24"/>
        </w:rPr>
        <w:t xml:space="preserve"> </w:t>
      </w:r>
      <w:r>
        <w:rPr>
          <w:sz w:val="24"/>
        </w:rPr>
        <w:t>ENIL’s</w:t>
      </w:r>
      <w:r>
        <w:rPr>
          <w:spacing w:val="-1"/>
          <w:sz w:val="24"/>
        </w:rPr>
        <w:t xml:space="preserve"> </w:t>
      </w:r>
      <w:r>
        <w:rPr>
          <w:sz w:val="24"/>
        </w:rPr>
        <w:t>complaints</w:t>
      </w:r>
      <w:r>
        <w:rPr>
          <w:spacing w:val="-3"/>
          <w:sz w:val="24"/>
        </w:rPr>
        <w:t xml:space="preserve"> </w:t>
      </w:r>
      <w:r>
        <w:rPr>
          <w:sz w:val="24"/>
        </w:rPr>
        <w:t xml:space="preserve">against investments of EU funds into institutions, stating that: </w:t>
      </w:r>
      <w:r>
        <w:rPr>
          <w:rFonts w:ascii="Arial" w:hAnsi="Arial"/>
          <w:i/>
          <w:sz w:val="24"/>
        </w:rPr>
        <w:t>“the mere fact that a given infrastructure has been financed by the Union does not mean that the Member State implements Union law”</w:t>
      </w:r>
      <w:r>
        <w:rPr>
          <w:sz w:val="24"/>
        </w:rPr>
        <w:t>.</w:t>
      </w:r>
    </w:p>
    <w:p w14:paraId="0EA43C11" w14:textId="77777777" w:rsidR="00161C10" w:rsidRDefault="00CE2C8C">
      <w:pPr>
        <w:spacing w:before="121"/>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4DA110E5" w14:textId="77777777" w:rsidR="00161C10" w:rsidRDefault="00CE2C8C">
      <w:pPr>
        <w:pStyle w:val="BodyText"/>
        <w:spacing w:before="1"/>
        <w:rPr>
          <w:rFonts w:ascii="Arial"/>
          <w:b/>
          <w:i/>
          <w:sz w:val="12"/>
        </w:rPr>
      </w:pPr>
      <w:r>
        <w:rPr>
          <w:rFonts w:ascii="Arial"/>
          <w:b/>
          <w:i/>
          <w:noProof/>
          <w:sz w:val="12"/>
        </w:rPr>
        <mc:AlternateContent>
          <mc:Choice Requires="wps">
            <w:drawing>
              <wp:anchor distT="0" distB="0" distL="0" distR="0" simplePos="0" relativeHeight="487601152" behindDoc="1" locked="0" layoutInCell="1" allowOverlap="1" wp14:anchorId="6F95671D" wp14:editId="51A1BD98">
                <wp:simplePos x="0" y="0"/>
                <wp:positionH relativeFrom="page">
                  <wp:posOffset>843076</wp:posOffset>
                </wp:positionH>
                <wp:positionV relativeFrom="paragraph">
                  <wp:posOffset>106864</wp:posOffset>
                </wp:positionV>
                <wp:extent cx="6088380" cy="835660"/>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835660"/>
                        </a:xfrm>
                        <a:prstGeom prst="rect">
                          <a:avLst/>
                        </a:prstGeom>
                        <a:ln w="6095">
                          <a:solidFill>
                            <a:srgbClr val="000000"/>
                          </a:solidFill>
                          <a:prstDash val="solid"/>
                        </a:ln>
                      </wps:spPr>
                      <wps:txbx>
                        <w:txbxContent>
                          <w:p w14:paraId="04F1448F" w14:textId="77777777" w:rsidR="00161C10" w:rsidRDefault="00CE2C8C">
                            <w:pPr>
                              <w:spacing w:before="20" w:line="276" w:lineRule="auto"/>
                              <w:ind w:left="108" w:right="112"/>
                              <w:jc w:val="both"/>
                              <w:rPr>
                                <w:rFonts w:ascii="Arial"/>
                                <w:b/>
                                <w:sz w:val="24"/>
                              </w:rPr>
                            </w:pPr>
                            <w:r>
                              <w:rPr>
                                <w:rFonts w:ascii="Arial"/>
                                <w:b/>
                                <w:sz w:val="24"/>
                              </w:rPr>
                              <w:t>The Committee recommends that</w:t>
                            </w:r>
                            <w:r>
                              <w:rPr>
                                <w:rFonts w:ascii="Arial"/>
                                <w:b/>
                                <w:spacing w:val="-2"/>
                                <w:sz w:val="24"/>
                              </w:rPr>
                              <w:t xml:space="preserve"> </w:t>
                            </w:r>
                            <w:r>
                              <w:rPr>
                                <w:rFonts w:ascii="Arial"/>
                                <w:b/>
                                <w:sz w:val="24"/>
                              </w:rPr>
                              <w:t>the EU</w:t>
                            </w:r>
                            <w:r>
                              <w:rPr>
                                <w:rFonts w:ascii="Arial"/>
                                <w:b/>
                                <w:spacing w:val="-1"/>
                                <w:sz w:val="24"/>
                              </w:rPr>
                              <w:t xml:space="preserve"> </w:t>
                            </w:r>
                            <w:r>
                              <w:rPr>
                                <w:rFonts w:ascii="Arial"/>
                                <w:b/>
                                <w:sz w:val="24"/>
                              </w:rPr>
                              <w:t>puts in</w:t>
                            </w:r>
                            <w:r>
                              <w:rPr>
                                <w:rFonts w:ascii="Arial"/>
                                <w:b/>
                                <w:spacing w:val="-1"/>
                                <w:sz w:val="24"/>
                              </w:rPr>
                              <w:t xml:space="preserve"> </w:t>
                            </w:r>
                            <w:r>
                              <w:rPr>
                                <w:rFonts w:ascii="Arial"/>
                                <w:b/>
                                <w:sz w:val="24"/>
                              </w:rPr>
                              <w:t>place a procedure for</w:t>
                            </w:r>
                            <w:r>
                              <w:rPr>
                                <w:rFonts w:ascii="Arial"/>
                                <w:b/>
                                <w:spacing w:val="-1"/>
                                <w:sz w:val="24"/>
                              </w:rPr>
                              <w:t xml:space="preserve"> </w:t>
                            </w:r>
                            <w:r>
                              <w:rPr>
                                <w:rFonts w:ascii="Arial"/>
                                <w:b/>
                                <w:sz w:val="24"/>
                              </w:rPr>
                              <w:t>complaints that is impartial and independent of the Managing Authority influence, and that it takes appropriate action in cases of misuse of EU funds in violation of the UNCRPD, including but not limited to the infringement procedure.</w:t>
                            </w:r>
                          </w:p>
                        </w:txbxContent>
                      </wps:txbx>
                      <wps:bodyPr wrap="square" lIns="0" tIns="0" rIns="0" bIns="0" rtlCol="0">
                        <a:noAutofit/>
                      </wps:bodyPr>
                    </wps:wsp>
                  </a:graphicData>
                </a:graphic>
              </wp:anchor>
            </w:drawing>
          </mc:Choice>
          <mc:Fallback>
            <w:pict>
              <v:shape w14:anchorId="6F95671D" id="Textbox 37" o:spid="_x0000_s1051" type="#_x0000_t202" style="position:absolute;margin-left:66.4pt;margin-top:8.4pt;width:479.4pt;height:65.8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" filled="f" strokeweight=".16931mm">
                <v:path arrowok="t"/>
                <v:textbox inset="0,0,0,0">
                  <w:txbxContent>
                    <w:p w14:paraId="04F1448F" w14:textId="77777777" w:rsidR="00161C10" w:rsidRDefault="00CE2C8C">
                      <w:pPr>
                        <w:spacing w:before="20" w:line="276" w:lineRule="auto"/>
                        <w:ind w:left="108" w:right="112"/>
                        <w:jc w:val="both"/>
                        <w:rPr>
                          <w:rFonts w:ascii="Arial"/>
                          <w:b/>
                          <w:sz w:val="24"/>
                        </w:rPr>
                      </w:pPr>
                      <w:r>
                        <w:rPr>
                          <w:rFonts w:ascii="Arial"/>
                          <w:b/>
                          <w:sz w:val="24"/>
                        </w:rPr>
                        <w:t>The Committee recommends that</w:t>
                      </w:r>
                      <w:r>
                        <w:rPr>
                          <w:rFonts w:ascii="Arial"/>
                          <w:b/>
                          <w:spacing w:val="-2"/>
                          <w:sz w:val="24"/>
                        </w:rPr>
                        <w:t xml:space="preserve"> </w:t>
                      </w:r>
                      <w:r>
                        <w:rPr>
                          <w:rFonts w:ascii="Arial"/>
                          <w:b/>
                          <w:sz w:val="24"/>
                        </w:rPr>
                        <w:t>the EU</w:t>
                      </w:r>
                      <w:r>
                        <w:rPr>
                          <w:rFonts w:ascii="Arial"/>
                          <w:b/>
                          <w:spacing w:val="-1"/>
                          <w:sz w:val="24"/>
                        </w:rPr>
                        <w:t xml:space="preserve"> </w:t>
                      </w:r>
                      <w:r>
                        <w:rPr>
                          <w:rFonts w:ascii="Arial"/>
                          <w:b/>
                          <w:sz w:val="24"/>
                        </w:rPr>
                        <w:t>puts in</w:t>
                      </w:r>
                      <w:r>
                        <w:rPr>
                          <w:rFonts w:ascii="Arial"/>
                          <w:b/>
                          <w:spacing w:val="-1"/>
                          <w:sz w:val="24"/>
                        </w:rPr>
                        <w:t xml:space="preserve"> </w:t>
                      </w:r>
                      <w:r>
                        <w:rPr>
                          <w:rFonts w:ascii="Arial"/>
                          <w:b/>
                          <w:sz w:val="24"/>
                        </w:rPr>
                        <w:t>place a procedure for</w:t>
                      </w:r>
                      <w:r>
                        <w:rPr>
                          <w:rFonts w:ascii="Arial"/>
                          <w:b/>
                          <w:spacing w:val="-1"/>
                          <w:sz w:val="24"/>
                        </w:rPr>
                        <w:t xml:space="preserve"> </w:t>
                      </w:r>
                      <w:r>
                        <w:rPr>
                          <w:rFonts w:ascii="Arial"/>
                          <w:b/>
                          <w:sz w:val="24"/>
                        </w:rPr>
                        <w:t>complaints that is impartial and independent of the Managing Authority influence, and that it takes appropriate action in cases of misuse of EU funds in violation of the UNCRPD, including but not limited to the infringement procedure.</w:t>
                      </w:r>
                    </w:p>
                  </w:txbxContent>
                </v:textbox>
                <w10:wrap type="topAndBottom" anchorx="page"/>
              </v:shape>
            </w:pict>
          </mc:Fallback>
        </mc:AlternateContent>
      </w:r>
    </w:p>
    <w:p w14:paraId="37120E4A" w14:textId="77777777" w:rsidR="00161C10" w:rsidRDefault="00CE2C8C">
      <w:pPr>
        <w:pStyle w:val="Heading3"/>
        <w:numPr>
          <w:ilvl w:val="2"/>
          <w:numId w:val="8"/>
        </w:numPr>
        <w:tabs>
          <w:tab w:val="left" w:pos="1136"/>
        </w:tabs>
        <w:ind w:left="1136" w:hanging="776"/>
      </w:pPr>
      <w:r>
        <w:t>Respect</w:t>
      </w:r>
      <w:r>
        <w:rPr>
          <w:spacing w:val="-4"/>
        </w:rPr>
        <w:t xml:space="preserve"> </w:t>
      </w:r>
      <w:r>
        <w:t>for</w:t>
      </w:r>
      <w:r>
        <w:rPr>
          <w:spacing w:val="-6"/>
        </w:rPr>
        <w:t xml:space="preserve"> </w:t>
      </w:r>
      <w:r>
        <w:t>the</w:t>
      </w:r>
      <w:r>
        <w:rPr>
          <w:spacing w:val="-4"/>
        </w:rPr>
        <w:t xml:space="preserve"> </w:t>
      </w:r>
      <w:r>
        <w:t>home</w:t>
      </w:r>
      <w:r>
        <w:rPr>
          <w:spacing w:val="-6"/>
        </w:rPr>
        <w:t xml:space="preserve"> </w:t>
      </w:r>
      <w:r>
        <w:t>and</w:t>
      </w:r>
      <w:r>
        <w:rPr>
          <w:spacing w:val="-6"/>
        </w:rPr>
        <w:t xml:space="preserve"> </w:t>
      </w:r>
      <w:r>
        <w:t>the</w:t>
      </w:r>
      <w:r>
        <w:rPr>
          <w:spacing w:val="-6"/>
        </w:rPr>
        <w:t xml:space="preserve"> </w:t>
      </w:r>
      <w:r>
        <w:t>family</w:t>
      </w:r>
      <w:r>
        <w:rPr>
          <w:spacing w:val="-3"/>
        </w:rPr>
        <w:t xml:space="preserve"> </w:t>
      </w:r>
      <w:r>
        <w:t>(art.</w:t>
      </w:r>
      <w:r>
        <w:rPr>
          <w:spacing w:val="-2"/>
        </w:rPr>
        <w:t xml:space="preserve"> </w:t>
      </w:r>
      <w:r>
        <w:rPr>
          <w:spacing w:val="-5"/>
        </w:rPr>
        <w:t>23)</w:t>
      </w:r>
    </w:p>
    <w:p w14:paraId="4ABAF257" w14:textId="77777777" w:rsidR="00161C10" w:rsidRDefault="00CE2C8C">
      <w:pPr>
        <w:pStyle w:val="Heading4"/>
        <w:numPr>
          <w:ilvl w:val="3"/>
          <w:numId w:val="8"/>
        </w:numPr>
        <w:tabs>
          <w:tab w:val="left" w:pos="1073"/>
        </w:tabs>
        <w:spacing w:before="290"/>
        <w:ind w:hanging="355"/>
        <w:jc w:val="left"/>
      </w:pPr>
      <w:r>
        <w:t>Reply</w:t>
      </w:r>
      <w:r>
        <w:rPr>
          <w:spacing w:val="-2"/>
        </w:rPr>
        <w:t xml:space="preserve"> </w:t>
      </w:r>
      <w:r>
        <w:t>to</w:t>
      </w:r>
      <w:r>
        <w:rPr>
          <w:spacing w:val="-2"/>
        </w:rPr>
        <w:t xml:space="preserve"> </w:t>
      </w:r>
      <w:r>
        <w:t>the</w:t>
      </w:r>
      <w:r>
        <w:rPr>
          <w:spacing w:val="-2"/>
        </w:rPr>
        <w:t xml:space="preserve"> </w:t>
      </w:r>
      <w:r>
        <w:t>issues</w:t>
      </w:r>
      <w:r>
        <w:rPr>
          <w:spacing w:val="-1"/>
        </w:rPr>
        <w:t xml:space="preserve"> </w:t>
      </w:r>
      <w:r>
        <w:t>raised</w:t>
      </w:r>
      <w:r>
        <w:rPr>
          <w:spacing w:val="-5"/>
        </w:rPr>
        <w:t xml:space="preserve"> </w:t>
      </w:r>
      <w:r>
        <w:t>in</w:t>
      </w:r>
      <w:r>
        <w:rPr>
          <w:spacing w:val="-2"/>
        </w:rPr>
        <w:t xml:space="preserve"> </w:t>
      </w:r>
      <w:r>
        <w:t>paragraph</w:t>
      </w:r>
      <w:r>
        <w:rPr>
          <w:spacing w:val="-2"/>
        </w:rPr>
        <w:t xml:space="preserve"> </w:t>
      </w:r>
      <w:r>
        <w:t>25a</w:t>
      </w:r>
      <w:r>
        <w:rPr>
          <w:spacing w:val="-1"/>
        </w:rPr>
        <w:t xml:space="preserve"> </w:t>
      </w:r>
      <w:r>
        <w:t>of</w:t>
      </w:r>
      <w:r>
        <w:rPr>
          <w:spacing w:val="-2"/>
        </w:rPr>
        <w:t xml:space="preserve"> </w:t>
      </w:r>
      <w:r>
        <w:t>the</w:t>
      </w:r>
      <w:r>
        <w:rPr>
          <w:spacing w:val="-2"/>
        </w:rPr>
        <w:t xml:space="preserve"> </w:t>
      </w:r>
      <w:r>
        <w:t>list</w:t>
      </w:r>
      <w:r>
        <w:rPr>
          <w:spacing w:val="-1"/>
        </w:rPr>
        <w:t xml:space="preserve"> </w:t>
      </w:r>
      <w:r>
        <w:t>of</w:t>
      </w:r>
      <w:r>
        <w:rPr>
          <w:spacing w:val="-4"/>
        </w:rPr>
        <w:t xml:space="preserve"> </w:t>
      </w:r>
      <w:r>
        <w:rPr>
          <w:spacing w:val="-2"/>
        </w:rPr>
        <w:t>issues</w:t>
      </w:r>
    </w:p>
    <w:p w14:paraId="00EFDC0F" w14:textId="77777777" w:rsidR="00161C10" w:rsidRDefault="00CE2C8C">
      <w:pPr>
        <w:spacing w:before="159" w:line="276" w:lineRule="auto"/>
        <w:ind w:left="360" w:right="361"/>
        <w:jc w:val="both"/>
        <w:rPr>
          <w:rFonts w:ascii="Arial" w:hAnsi="Arial"/>
          <w:i/>
          <w:sz w:val="24"/>
        </w:rPr>
      </w:pPr>
      <w:r>
        <w:rPr>
          <w:rFonts w:ascii="Arial" w:hAnsi="Arial"/>
          <w:i/>
          <w:spacing w:val="-2"/>
          <w:sz w:val="24"/>
        </w:rPr>
        <w:t>The</w:t>
      </w:r>
      <w:r>
        <w:rPr>
          <w:rFonts w:ascii="Arial" w:hAnsi="Arial"/>
          <w:i/>
          <w:spacing w:val="-7"/>
          <w:sz w:val="24"/>
        </w:rPr>
        <w:t xml:space="preserve"> </w:t>
      </w:r>
      <w:r>
        <w:rPr>
          <w:rFonts w:ascii="Arial" w:hAnsi="Arial"/>
          <w:i/>
          <w:spacing w:val="-2"/>
          <w:sz w:val="24"/>
        </w:rPr>
        <w:t>European</w:t>
      </w:r>
      <w:r>
        <w:rPr>
          <w:rFonts w:ascii="Arial" w:hAnsi="Arial"/>
          <w:i/>
          <w:spacing w:val="-7"/>
          <w:sz w:val="24"/>
        </w:rPr>
        <w:t xml:space="preserve"> </w:t>
      </w:r>
      <w:r>
        <w:rPr>
          <w:rFonts w:ascii="Arial" w:hAnsi="Arial"/>
          <w:i/>
          <w:spacing w:val="-2"/>
          <w:sz w:val="24"/>
        </w:rPr>
        <w:t>Union</w:t>
      </w:r>
      <w:r>
        <w:rPr>
          <w:rFonts w:ascii="Arial" w:hAnsi="Arial"/>
          <w:i/>
          <w:spacing w:val="-7"/>
          <w:sz w:val="24"/>
        </w:rPr>
        <w:t xml:space="preserve"> </w:t>
      </w:r>
      <w:r>
        <w:rPr>
          <w:rFonts w:ascii="Arial" w:hAnsi="Arial"/>
          <w:i/>
          <w:spacing w:val="-2"/>
          <w:sz w:val="24"/>
        </w:rPr>
        <w:t>states</w:t>
      </w:r>
      <w:r>
        <w:rPr>
          <w:rFonts w:ascii="Arial" w:hAnsi="Arial"/>
          <w:i/>
          <w:spacing w:val="-8"/>
          <w:sz w:val="24"/>
        </w:rPr>
        <w:t xml:space="preserve"> </w:t>
      </w:r>
      <w:r>
        <w:rPr>
          <w:rFonts w:ascii="Arial" w:hAnsi="Arial"/>
          <w:i/>
          <w:spacing w:val="-2"/>
          <w:sz w:val="24"/>
        </w:rPr>
        <w:t>that</w:t>
      </w:r>
      <w:r>
        <w:rPr>
          <w:rFonts w:ascii="Arial" w:hAnsi="Arial"/>
          <w:i/>
          <w:spacing w:val="-7"/>
          <w:sz w:val="24"/>
        </w:rPr>
        <w:t xml:space="preserve"> </w:t>
      </w:r>
      <w:r>
        <w:rPr>
          <w:rFonts w:ascii="Arial" w:hAnsi="Arial"/>
          <w:i/>
          <w:spacing w:val="-2"/>
          <w:sz w:val="24"/>
        </w:rPr>
        <w:t>“The</w:t>
      </w:r>
      <w:r>
        <w:rPr>
          <w:rFonts w:ascii="Arial" w:hAnsi="Arial"/>
          <w:i/>
          <w:spacing w:val="-7"/>
          <w:sz w:val="24"/>
        </w:rPr>
        <w:t xml:space="preserve"> </w:t>
      </w:r>
      <w:r>
        <w:rPr>
          <w:rFonts w:ascii="Arial" w:hAnsi="Arial"/>
          <w:i/>
          <w:spacing w:val="-2"/>
          <w:sz w:val="24"/>
        </w:rPr>
        <w:t>European</w:t>
      </w:r>
      <w:r>
        <w:rPr>
          <w:rFonts w:ascii="Arial" w:hAnsi="Arial"/>
          <w:i/>
          <w:spacing w:val="-7"/>
          <w:sz w:val="24"/>
        </w:rPr>
        <w:t xml:space="preserve"> </w:t>
      </w:r>
      <w:r>
        <w:rPr>
          <w:rFonts w:ascii="Arial" w:hAnsi="Arial"/>
          <w:i/>
          <w:spacing w:val="-2"/>
          <w:sz w:val="24"/>
        </w:rPr>
        <w:t>Care</w:t>
      </w:r>
      <w:r>
        <w:rPr>
          <w:rFonts w:ascii="Arial" w:hAnsi="Arial"/>
          <w:i/>
          <w:spacing w:val="-7"/>
          <w:sz w:val="24"/>
        </w:rPr>
        <w:t xml:space="preserve"> </w:t>
      </w:r>
      <w:r>
        <w:rPr>
          <w:rFonts w:ascii="Arial" w:hAnsi="Arial"/>
          <w:i/>
          <w:spacing w:val="-2"/>
          <w:sz w:val="24"/>
        </w:rPr>
        <w:t>Strategy</w:t>
      </w:r>
      <w:r>
        <w:rPr>
          <w:rFonts w:ascii="Arial" w:hAnsi="Arial"/>
          <w:i/>
          <w:spacing w:val="-8"/>
          <w:sz w:val="24"/>
        </w:rPr>
        <w:t xml:space="preserve"> </w:t>
      </w:r>
      <w:r>
        <w:rPr>
          <w:rFonts w:ascii="Arial" w:hAnsi="Arial"/>
          <w:i/>
          <w:spacing w:val="-2"/>
          <w:sz w:val="24"/>
        </w:rPr>
        <w:t>aims</w:t>
      </w:r>
      <w:r>
        <w:rPr>
          <w:rFonts w:ascii="Arial" w:hAnsi="Arial"/>
          <w:i/>
          <w:spacing w:val="-8"/>
          <w:sz w:val="24"/>
        </w:rPr>
        <w:t xml:space="preserve"> </w:t>
      </w:r>
      <w:r>
        <w:rPr>
          <w:rFonts w:ascii="Arial" w:hAnsi="Arial"/>
          <w:i/>
          <w:spacing w:val="-2"/>
          <w:sz w:val="24"/>
        </w:rPr>
        <w:t>for</w:t>
      </w:r>
      <w:r>
        <w:rPr>
          <w:rFonts w:ascii="Arial" w:hAnsi="Arial"/>
          <w:i/>
          <w:spacing w:val="-8"/>
          <w:sz w:val="24"/>
        </w:rPr>
        <w:t xml:space="preserve"> </w:t>
      </w:r>
      <w:r>
        <w:rPr>
          <w:rFonts w:ascii="Arial" w:hAnsi="Arial"/>
          <w:i/>
          <w:spacing w:val="-2"/>
          <w:sz w:val="24"/>
        </w:rPr>
        <w:t>quality,</w:t>
      </w:r>
      <w:r>
        <w:rPr>
          <w:rFonts w:ascii="Arial" w:hAnsi="Arial"/>
          <w:i/>
          <w:spacing w:val="-7"/>
          <w:sz w:val="24"/>
        </w:rPr>
        <w:t xml:space="preserve"> </w:t>
      </w:r>
      <w:r>
        <w:rPr>
          <w:rFonts w:ascii="Arial" w:hAnsi="Arial"/>
          <w:i/>
          <w:spacing w:val="-2"/>
          <w:sz w:val="24"/>
        </w:rPr>
        <w:t xml:space="preserve">affordable, </w:t>
      </w:r>
      <w:r>
        <w:rPr>
          <w:rFonts w:ascii="Arial" w:hAnsi="Arial"/>
          <w:i/>
          <w:sz w:val="24"/>
        </w:rPr>
        <w:t>and</w:t>
      </w:r>
      <w:r>
        <w:rPr>
          <w:rFonts w:ascii="Arial" w:hAnsi="Arial"/>
          <w:i/>
          <w:spacing w:val="-9"/>
          <w:sz w:val="24"/>
        </w:rPr>
        <w:t xml:space="preserve"> </w:t>
      </w:r>
      <w:r>
        <w:rPr>
          <w:rFonts w:ascii="Arial" w:hAnsi="Arial"/>
          <w:i/>
          <w:sz w:val="24"/>
        </w:rPr>
        <w:t>accessible</w:t>
      </w:r>
      <w:r>
        <w:rPr>
          <w:rFonts w:ascii="Arial" w:hAnsi="Arial"/>
          <w:i/>
          <w:spacing w:val="-9"/>
          <w:sz w:val="24"/>
        </w:rPr>
        <w:t xml:space="preserve"> </w:t>
      </w:r>
      <w:r>
        <w:rPr>
          <w:rFonts w:ascii="Arial" w:hAnsi="Arial"/>
          <w:i/>
          <w:sz w:val="24"/>
        </w:rPr>
        <w:t>care</w:t>
      </w:r>
      <w:r>
        <w:rPr>
          <w:rFonts w:ascii="Arial" w:hAnsi="Arial"/>
          <w:i/>
          <w:spacing w:val="-9"/>
          <w:sz w:val="24"/>
        </w:rPr>
        <w:t xml:space="preserve"> </w:t>
      </w:r>
      <w:r>
        <w:rPr>
          <w:rFonts w:ascii="Arial" w:hAnsi="Arial"/>
          <w:i/>
          <w:sz w:val="24"/>
        </w:rPr>
        <w:t>services</w:t>
      </w:r>
      <w:r>
        <w:rPr>
          <w:rFonts w:ascii="Arial" w:hAnsi="Arial"/>
          <w:i/>
          <w:spacing w:val="-10"/>
          <w:sz w:val="24"/>
        </w:rPr>
        <w:t xml:space="preserve"> </w:t>
      </w:r>
      <w:r>
        <w:rPr>
          <w:rFonts w:ascii="Arial" w:hAnsi="Arial"/>
          <w:i/>
          <w:sz w:val="24"/>
        </w:rPr>
        <w:t>across</w:t>
      </w:r>
      <w:r>
        <w:rPr>
          <w:rFonts w:ascii="Arial" w:hAnsi="Arial"/>
          <w:i/>
          <w:spacing w:val="-10"/>
          <w:sz w:val="24"/>
        </w:rPr>
        <w:t xml:space="preserve"> </w:t>
      </w:r>
      <w:r>
        <w:rPr>
          <w:rFonts w:ascii="Arial" w:hAnsi="Arial"/>
          <w:i/>
          <w:sz w:val="24"/>
        </w:rPr>
        <w:t>the</w:t>
      </w:r>
      <w:r>
        <w:rPr>
          <w:rFonts w:ascii="Arial" w:hAnsi="Arial"/>
          <w:i/>
          <w:spacing w:val="-9"/>
          <w:sz w:val="24"/>
        </w:rPr>
        <w:t xml:space="preserve"> </w:t>
      </w:r>
      <w:r>
        <w:rPr>
          <w:rFonts w:ascii="Arial" w:hAnsi="Arial"/>
          <w:i/>
          <w:sz w:val="24"/>
        </w:rPr>
        <w:t>EU</w:t>
      </w:r>
      <w:r>
        <w:rPr>
          <w:rFonts w:ascii="Arial" w:hAnsi="Arial"/>
          <w:i/>
          <w:spacing w:val="-11"/>
          <w:sz w:val="24"/>
        </w:rPr>
        <w:t xml:space="preserve"> </w:t>
      </w:r>
      <w:r>
        <w:rPr>
          <w:rFonts w:ascii="Arial" w:hAnsi="Arial"/>
          <w:i/>
          <w:sz w:val="24"/>
        </w:rPr>
        <w:t>as</w:t>
      </w:r>
      <w:r>
        <w:rPr>
          <w:rFonts w:ascii="Arial" w:hAnsi="Arial"/>
          <w:i/>
          <w:spacing w:val="-10"/>
          <w:sz w:val="24"/>
        </w:rPr>
        <w:t xml:space="preserve"> </w:t>
      </w:r>
      <w:r>
        <w:rPr>
          <w:rFonts w:ascii="Arial" w:hAnsi="Arial"/>
          <w:i/>
          <w:sz w:val="24"/>
        </w:rPr>
        <w:t>well</w:t>
      </w:r>
      <w:r>
        <w:rPr>
          <w:rFonts w:ascii="Arial" w:hAnsi="Arial"/>
          <w:i/>
          <w:spacing w:val="-11"/>
          <w:sz w:val="24"/>
        </w:rPr>
        <w:t xml:space="preserve"> </w:t>
      </w:r>
      <w:r>
        <w:rPr>
          <w:rFonts w:ascii="Arial" w:hAnsi="Arial"/>
          <w:i/>
          <w:sz w:val="24"/>
        </w:rPr>
        <w:t>as</w:t>
      </w:r>
      <w:r>
        <w:rPr>
          <w:rFonts w:ascii="Arial" w:hAnsi="Arial"/>
          <w:i/>
          <w:spacing w:val="-10"/>
          <w:sz w:val="24"/>
        </w:rPr>
        <w:t xml:space="preserve"> </w:t>
      </w:r>
      <w:r>
        <w:rPr>
          <w:rFonts w:ascii="Arial" w:hAnsi="Arial"/>
          <w:i/>
          <w:sz w:val="24"/>
        </w:rPr>
        <w:t>for</w:t>
      </w:r>
      <w:r>
        <w:rPr>
          <w:rFonts w:ascii="Arial" w:hAnsi="Arial"/>
          <w:i/>
          <w:spacing w:val="-11"/>
          <w:sz w:val="24"/>
        </w:rPr>
        <w:t xml:space="preserve"> </w:t>
      </w:r>
      <w:r>
        <w:rPr>
          <w:rFonts w:ascii="Arial" w:hAnsi="Arial"/>
          <w:i/>
          <w:sz w:val="24"/>
        </w:rPr>
        <w:t>improving</w:t>
      </w:r>
      <w:r>
        <w:rPr>
          <w:rFonts w:ascii="Arial" w:hAnsi="Arial"/>
          <w:i/>
          <w:spacing w:val="-11"/>
          <w:sz w:val="24"/>
        </w:rPr>
        <w:t xml:space="preserve"> </w:t>
      </w:r>
      <w:r>
        <w:rPr>
          <w:rFonts w:ascii="Arial" w:hAnsi="Arial"/>
          <w:i/>
          <w:sz w:val="24"/>
        </w:rPr>
        <w:t>the</w:t>
      </w:r>
      <w:r>
        <w:rPr>
          <w:rFonts w:ascii="Arial" w:hAnsi="Arial"/>
          <w:i/>
          <w:spacing w:val="-9"/>
          <w:sz w:val="24"/>
        </w:rPr>
        <w:t xml:space="preserve"> </w:t>
      </w:r>
      <w:r>
        <w:rPr>
          <w:rFonts w:ascii="Arial" w:hAnsi="Arial"/>
          <w:i/>
          <w:sz w:val="24"/>
        </w:rPr>
        <w:t>situation</w:t>
      </w:r>
      <w:r>
        <w:rPr>
          <w:rFonts w:ascii="Arial" w:hAnsi="Arial"/>
          <w:i/>
          <w:spacing w:val="-11"/>
          <w:sz w:val="24"/>
        </w:rPr>
        <w:t xml:space="preserve"> </w:t>
      </w:r>
      <w:r>
        <w:rPr>
          <w:rFonts w:ascii="Arial" w:hAnsi="Arial"/>
          <w:i/>
          <w:sz w:val="24"/>
        </w:rPr>
        <w:t>for</w:t>
      </w:r>
      <w:r>
        <w:rPr>
          <w:rFonts w:ascii="Arial" w:hAnsi="Arial"/>
          <w:i/>
          <w:spacing w:val="-11"/>
          <w:sz w:val="24"/>
        </w:rPr>
        <w:t xml:space="preserve"> </w:t>
      </w:r>
      <w:r>
        <w:rPr>
          <w:rFonts w:ascii="Arial" w:hAnsi="Arial"/>
          <w:i/>
          <w:sz w:val="24"/>
        </w:rPr>
        <w:t>both care receivers and the people caring for them.”</w:t>
      </w:r>
    </w:p>
    <w:p w14:paraId="0CD9E6DF" w14:textId="7BFA69EA" w:rsidR="00161C10" w:rsidRDefault="00CE2C8C">
      <w:pPr>
        <w:pStyle w:val="BodyText"/>
        <w:spacing w:before="116" w:line="276" w:lineRule="auto"/>
        <w:ind w:left="360" w:right="360"/>
        <w:jc w:val="both"/>
      </w:pPr>
      <w:r>
        <w:t>In 2022, the EU adopted the European Care Strategy</w:t>
      </w:r>
      <w:hyperlink w:anchor="_bookmark12" w:history="1">
        <w:r>
          <w:rPr>
            <w:position w:val="8"/>
            <w:sz w:val="16"/>
          </w:rPr>
          <w:t>13</w:t>
        </w:r>
      </w:hyperlink>
      <w:r>
        <w:t xml:space="preserve">. The objective was to improve long-term care for older and disabled people. Throughout the discussions on the Care Strategy, ENIL highlighted that the term ‘care’ has been rejected by the UNCRPD and its General Comments in </w:t>
      </w:r>
      <w:proofErr w:type="spellStart"/>
      <w:r>
        <w:t>favour</w:t>
      </w:r>
      <w:proofErr w:type="spellEnd"/>
      <w:r>
        <w:t xml:space="preserve"> of ‘support’.</w:t>
      </w:r>
    </w:p>
    <w:p w14:paraId="1E7AAE11" w14:textId="50BE231A" w:rsidR="00161C10" w:rsidRDefault="00CE2C8C">
      <w:pPr>
        <w:pStyle w:val="BodyText"/>
        <w:spacing w:before="120" w:line="276" w:lineRule="auto"/>
        <w:ind w:left="360" w:right="353"/>
        <w:jc w:val="both"/>
        <w:rPr>
          <w:rFonts w:ascii="Arial" w:hAnsi="Arial"/>
          <w:i/>
        </w:rPr>
      </w:pPr>
      <w:r>
        <w:t>Regrettably, the Commission has failed to ensure compliance of the Care Strategy with the</w:t>
      </w:r>
      <w:r>
        <w:rPr>
          <w:spacing w:val="-15"/>
        </w:rPr>
        <w:t xml:space="preserve"> </w:t>
      </w:r>
      <w:r>
        <w:t>UNCRPD</w:t>
      </w:r>
      <w:r>
        <w:rPr>
          <w:spacing w:val="-15"/>
        </w:rPr>
        <w:t xml:space="preserve"> </w:t>
      </w:r>
      <w:r>
        <w:t>and</w:t>
      </w:r>
      <w:r>
        <w:rPr>
          <w:spacing w:val="-14"/>
        </w:rPr>
        <w:t xml:space="preserve"> </w:t>
      </w:r>
      <w:r>
        <w:t>its</w:t>
      </w:r>
      <w:r>
        <w:rPr>
          <w:spacing w:val="-17"/>
        </w:rPr>
        <w:t xml:space="preserve"> </w:t>
      </w:r>
      <w:r>
        <w:t>own</w:t>
      </w:r>
      <w:r>
        <w:rPr>
          <w:spacing w:val="-15"/>
        </w:rPr>
        <w:t xml:space="preserve"> </w:t>
      </w:r>
      <w:r>
        <w:t>Strategy</w:t>
      </w:r>
      <w:r>
        <w:rPr>
          <w:spacing w:val="-15"/>
        </w:rPr>
        <w:t xml:space="preserve"> </w:t>
      </w:r>
      <w:r>
        <w:t>on</w:t>
      </w:r>
      <w:r>
        <w:rPr>
          <w:spacing w:val="-14"/>
        </w:rPr>
        <w:t xml:space="preserve"> </w:t>
      </w:r>
      <w:r>
        <w:t>the</w:t>
      </w:r>
      <w:r>
        <w:rPr>
          <w:spacing w:val="-14"/>
        </w:rPr>
        <w:t xml:space="preserve"> </w:t>
      </w:r>
      <w:r>
        <w:t>Rights</w:t>
      </w:r>
      <w:r>
        <w:rPr>
          <w:spacing w:val="-14"/>
        </w:rPr>
        <w:t xml:space="preserve"> </w:t>
      </w:r>
      <w:r>
        <w:t>of</w:t>
      </w:r>
      <w:r>
        <w:rPr>
          <w:spacing w:val="-17"/>
        </w:rPr>
        <w:t xml:space="preserve"> </w:t>
      </w:r>
      <w:r>
        <w:t>Persons</w:t>
      </w:r>
      <w:r>
        <w:rPr>
          <w:spacing w:val="-15"/>
        </w:rPr>
        <w:t xml:space="preserve"> </w:t>
      </w:r>
      <w:r>
        <w:t>with</w:t>
      </w:r>
      <w:r>
        <w:rPr>
          <w:spacing w:val="-14"/>
        </w:rPr>
        <w:t xml:space="preserve"> </w:t>
      </w:r>
      <w:r>
        <w:t>Disabilities</w:t>
      </w:r>
      <w:r>
        <w:rPr>
          <w:spacing w:val="-14"/>
        </w:rPr>
        <w:t xml:space="preserve"> </w:t>
      </w:r>
      <w:r>
        <w:t>2021</w:t>
      </w:r>
      <w:r>
        <w:rPr>
          <w:spacing w:val="-7"/>
        </w:rPr>
        <w:t xml:space="preserve"> </w:t>
      </w:r>
      <w:r>
        <w:t>-</w:t>
      </w:r>
      <w:r>
        <w:rPr>
          <w:spacing w:val="-17"/>
        </w:rPr>
        <w:t xml:space="preserve"> </w:t>
      </w:r>
      <w:r>
        <w:t>2030. As a result, the Care Strategy, which is equally concerned with the rights of ‘care providers’</w:t>
      </w:r>
      <w:r>
        <w:rPr>
          <w:spacing w:val="-7"/>
        </w:rPr>
        <w:t xml:space="preserve"> </w:t>
      </w:r>
      <w:r>
        <w:t>and</w:t>
      </w:r>
      <w:r>
        <w:rPr>
          <w:spacing w:val="-5"/>
        </w:rPr>
        <w:t xml:space="preserve"> </w:t>
      </w:r>
      <w:r>
        <w:t>‘care</w:t>
      </w:r>
      <w:r>
        <w:rPr>
          <w:spacing w:val="-5"/>
        </w:rPr>
        <w:t xml:space="preserve"> </w:t>
      </w:r>
      <w:r>
        <w:t>receivers’</w:t>
      </w:r>
      <w:r>
        <w:rPr>
          <w:spacing w:val="-6"/>
        </w:rPr>
        <w:t xml:space="preserve"> </w:t>
      </w:r>
      <w:r>
        <w:t>does</w:t>
      </w:r>
      <w:r>
        <w:rPr>
          <w:spacing w:val="-5"/>
        </w:rPr>
        <w:t xml:space="preserve"> </w:t>
      </w:r>
      <w:r>
        <w:t>not</w:t>
      </w:r>
      <w:r>
        <w:rPr>
          <w:spacing w:val="-1"/>
        </w:rPr>
        <w:t xml:space="preserve"> </w:t>
      </w:r>
      <w:r>
        <w:t>sufficiently</w:t>
      </w:r>
      <w:r>
        <w:rPr>
          <w:spacing w:val="-4"/>
        </w:rPr>
        <w:t xml:space="preserve"> </w:t>
      </w:r>
      <w:r>
        <w:t>encourage</w:t>
      </w:r>
      <w:r>
        <w:rPr>
          <w:spacing w:val="-5"/>
        </w:rPr>
        <w:t xml:space="preserve"> </w:t>
      </w:r>
      <w:r>
        <w:t>Member</w:t>
      </w:r>
      <w:r>
        <w:rPr>
          <w:spacing w:val="-6"/>
        </w:rPr>
        <w:t xml:space="preserve"> </w:t>
      </w:r>
      <w:r>
        <w:t>States</w:t>
      </w:r>
      <w:r>
        <w:rPr>
          <w:spacing w:val="-5"/>
        </w:rPr>
        <w:t xml:space="preserve"> </w:t>
      </w:r>
      <w:r>
        <w:t>to</w:t>
      </w:r>
      <w:r>
        <w:rPr>
          <w:spacing w:val="-7"/>
        </w:rPr>
        <w:t xml:space="preserve"> </w:t>
      </w:r>
      <w:r>
        <w:t>provide those</w:t>
      </w:r>
      <w:r>
        <w:rPr>
          <w:spacing w:val="-4"/>
        </w:rPr>
        <w:t xml:space="preserve"> </w:t>
      </w:r>
      <w:r>
        <w:t>in</w:t>
      </w:r>
      <w:r>
        <w:rPr>
          <w:spacing w:val="-4"/>
        </w:rPr>
        <w:t xml:space="preserve"> </w:t>
      </w:r>
      <w:r>
        <w:t>need</w:t>
      </w:r>
      <w:r>
        <w:rPr>
          <w:spacing w:val="-2"/>
        </w:rPr>
        <w:t xml:space="preserve"> </w:t>
      </w:r>
      <w:r>
        <w:t>of</w:t>
      </w:r>
      <w:r>
        <w:rPr>
          <w:spacing w:val="-2"/>
        </w:rPr>
        <w:t xml:space="preserve"> </w:t>
      </w:r>
      <w:r>
        <w:t>support</w:t>
      </w:r>
      <w:r>
        <w:rPr>
          <w:spacing w:val="-2"/>
        </w:rPr>
        <w:t xml:space="preserve"> </w:t>
      </w:r>
      <w:r>
        <w:t>with</w:t>
      </w:r>
      <w:r>
        <w:rPr>
          <w:spacing w:val="-1"/>
        </w:rPr>
        <w:t xml:space="preserve"> </w:t>
      </w:r>
      <w:r>
        <w:t>self-directed</w:t>
      </w:r>
      <w:r>
        <w:rPr>
          <w:spacing w:val="-2"/>
        </w:rPr>
        <w:t xml:space="preserve"> </w:t>
      </w:r>
      <w:r>
        <w:t>services</w:t>
      </w:r>
      <w:r>
        <w:rPr>
          <w:spacing w:val="-2"/>
        </w:rPr>
        <w:t xml:space="preserve"> </w:t>
      </w:r>
      <w:r>
        <w:t>in</w:t>
      </w:r>
      <w:r>
        <w:rPr>
          <w:spacing w:val="-2"/>
        </w:rPr>
        <w:t xml:space="preserve"> </w:t>
      </w:r>
      <w:r>
        <w:t>their</w:t>
      </w:r>
      <w:r>
        <w:rPr>
          <w:spacing w:val="-4"/>
        </w:rPr>
        <w:t xml:space="preserve"> </w:t>
      </w:r>
      <w:r>
        <w:t>own</w:t>
      </w:r>
      <w:r>
        <w:rPr>
          <w:spacing w:val="-4"/>
        </w:rPr>
        <w:t xml:space="preserve"> </w:t>
      </w:r>
      <w:r>
        <w:t>home,</w:t>
      </w:r>
      <w:r>
        <w:rPr>
          <w:spacing w:val="-2"/>
        </w:rPr>
        <w:t xml:space="preserve"> </w:t>
      </w:r>
      <w:r>
        <w:t>in</w:t>
      </w:r>
      <w:r>
        <w:rPr>
          <w:spacing w:val="-4"/>
        </w:rPr>
        <w:t xml:space="preserve"> </w:t>
      </w:r>
      <w:r>
        <w:t>the</w:t>
      </w:r>
      <w:r>
        <w:rPr>
          <w:spacing w:val="-4"/>
        </w:rPr>
        <w:t xml:space="preserve"> </w:t>
      </w:r>
      <w:r>
        <w:t>community. Nor does it do enough to ensure involvement of disabled (and older people) in the development of all policies and initiatives which concern them. It merely states Member States</w:t>
      </w:r>
      <w:r>
        <w:rPr>
          <w:spacing w:val="69"/>
        </w:rPr>
        <w:t xml:space="preserve"> </w:t>
      </w:r>
      <w:r>
        <w:t>should</w:t>
      </w:r>
      <w:r>
        <w:rPr>
          <w:spacing w:val="70"/>
        </w:rPr>
        <w:t xml:space="preserve"> </w:t>
      </w:r>
      <w:r>
        <w:t>increase</w:t>
      </w:r>
      <w:r>
        <w:rPr>
          <w:spacing w:val="72"/>
        </w:rPr>
        <w:t xml:space="preserve"> </w:t>
      </w:r>
      <w:r>
        <w:t>“</w:t>
      </w:r>
      <w:r>
        <w:rPr>
          <w:rFonts w:ascii="Arial" w:hAnsi="Arial"/>
          <w:i/>
        </w:rPr>
        <w:t>the</w:t>
      </w:r>
      <w:r>
        <w:rPr>
          <w:rFonts w:ascii="Arial" w:hAnsi="Arial"/>
          <w:i/>
          <w:spacing w:val="70"/>
        </w:rPr>
        <w:t xml:space="preserve"> </w:t>
      </w:r>
      <w:r>
        <w:rPr>
          <w:rFonts w:ascii="Arial" w:hAnsi="Arial"/>
          <w:i/>
        </w:rPr>
        <w:t>offer</w:t>
      </w:r>
      <w:r>
        <w:rPr>
          <w:rFonts w:ascii="Arial" w:hAnsi="Arial"/>
          <w:i/>
          <w:spacing w:val="68"/>
        </w:rPr>
        <w:t xml:space="preserve"> </w:t>
      </w:r>
      <w:r>
        <w:rPr>
          <w:rFonts w:ascii="Arial" w:hAnsi="Arial"/>
          <w:i/>
        </w:rPr>
        <w:t>and</w:t>
      </w:r>
      <w:r>
        <w:rPr>
          <w:rFonts w:ascii="Arial" w:hAnsi="Arial"/>
          <w:i/>
          <w:spacing w:val="72"/>
        </w:rPr>
        <w:t xml:space="preserve"> </w:t>
      </w:r>
      <w:r>
        <w:rPr>
          <w:rFonts w:ascii="Arial" w:hAnsi="Arial"/>
          <w:i/>
        </w:rPr>
        <w:t>mix</w:t>
      </w:r>
      <w:r>
        <w:rPr>
          <w:rFonts w:ascii="Arial" w:hAnsi="Arial"/>
          <w:i/>
          <w:spacing w:val="69"/>
        </w:rPr>
        <w:t xml:space="preserve"> </w:t>
      </w:r>
      <w:r>
        <w:rPr>
          <w:rFonts w:ascii="Arial" w:hAnsi="Arial"/>
          <w:i/>
        </w:rPr>
        <w:t>of</w:t>
      </w:r>
      <w:r>
        <w:rPr>
          <w:rFonts w:ascii="Arial" w:hAnsi="Arial"/>
          <w:i/>
          <w:spacing w:val="70"/>
        </w:rPr>
        <w:t xml:space="preserve"> </w:t>
      </w:r>
      <w:r>
        <w:rPr>
          <w:rFonts w:ascii="Arial" w:hAnsi="Arial"/>
          <w:i/>
        </w:rPr>
        <w:t>professional</w:t>
      </w:r>
      <w:r>
        <w:rPr>
          <w:rFonts w:ascii="Arial" w:hAnsi="Arial"/>
          <w:i/>
          <w:spacing w:val="71"/>
        </w:rPr>
        <w:t xml:space="preserve"> </w:t>
      </w:r>
      <w:r>
        <w:rPr>
          <w:rFonts w:ascii="Arial" w:hAnsi="Arial"/>
          <w:i/>
        </w:rPr>
        <w:t>long-term</w:t>
      </w:r>
      <w:r>
        <w:rPr>
          <w:rFonts w:ascii="Arial" w:hAnsi="Arial"/>
          <w:i/>
          <w:spacing w:val="70"/>
        </w:rPr>
        <w:t xml:space="preserve"> </w:t>
      </w:r>
      <w:r>
        <w:rPr>
          <w:rFonts w:ascii="Arial" w:hAnsi="Arial"/>
          <w:i/>
        </w:rPr>
        <w:t>care</w:t>
      </w:r>
      <w:r>
        <w:rPr>
          <w:rFonts w:ascii="Arial" w:hAnsi="Arial"/>
          <w:i/>
          <w:spacing w:val="69"/>
        </w:rPr>
        <w:t xml:space="preserve"> </w:t>
      </w:r>
      <w:r>
        <w:rPr>
          <w:rFonts w:ascii="Arial" w:hAnsi="Arial"/>
          <w:i/>
        </w:rPr>
        <w:t>services</w:t>
      </w:r>
    </w:p>
    <w:p w14:paraId="637471DE" w14:textId="77777777" w:rsidR="00161C10" w:rsidRDefault="00161C10">
      <w:pPr>
        <w:pStyle w:val="BodyText"/>
        <w:rPr>
          <w:rFonts w:ascii="Arial"/>
          <w:i/>
          <w:sz w:val="20"/>
        </w:rPr>
      </w:pPr>
    </w:p>
    <w:p w14:paraId="05412FE0" w14:textId="77777777" w:rsidR="00161C10" w:rsidRDefault="00CE2C8C">
      <w:pPr>
        <w:pStyle w:val="BodyText"/>
        <w:spacing w:before="114"/>
        <w:rPr>
          <w:rFonts w:ascii="Arial"/>
          <w:i/>
          <w:sz w:val="20"/>
        </w:rPr>
      </w:pPr>
      <w:r>
        <w:rPr>
          <w:rFonts w:ascii="Arial"/>
          <w:i/>
          <w:noProof/>
          <w:sz w:val="20"/>
        </w:rPr>
        <mc:AlternateContent>
          <mc:Choice Requires="wps">
            <w:drawing>
              <wp:anchor distT="0" distB="0" distL="0" distR="0" simplePos="0" relativeHeight="487601664" behindDoc="1" locked="0" layoutInCell="1" allowOverlap="1" wp14:anchorId="44F34603" wp14:editId="43D1BA1B">
                <wp:simplePos x="0" y="0"/>
                <wp:positionH relativeFrom="page">
                  <wp:posOffset>914704</wp:posOffset>
                </wp:positionH>
                <wp:positionV relativeFrom="paragraph">
                  <wp:posOffset>233722</wp:posOffset>
                </wp:positionV>
                <wp:extent cx="1829435" cy="762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3D876F" id="Graphic 38" o:spid="_x0000_s1026" style="position:absolute;margin-left:1in;margin-top:18.4pt;width:144.05pt;height:.6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" path="m1829054,l,,,7619r1829054,l1829054,xe" fillcolor="black" stroked="f">
                <v:path arrowok="t"/>
                <w10:wrap type="topAndBottom" anchorx="page"/>
              </v:shape>
            </w:pict>
          </mc:Fallback>
        </mc:AlternateContent>
      </w:r>
    </w:p>
    <w:p w14:paraId="30D6547B" w14:textId="77777777" w:rsidR="00161C10" w:rsidRDefault="00CE2C8C">
      <w:pPr>
        <w:spacing w:before="91"/>
        <w:ind w:left="360"/>
        <w:rPr>
          <w:sz w:val="20"/>
        </w:rPr>
      </w:pPr>
      <w:bookmarkStart w:id="11" w:name="_bookmark11"/>
      <w:bookmarkEnd w:id="11"/>
      <w:r>
        <w:rPr>
          <w:position w:val="6"/>
          <w:sz w:val="13"/>
        </w:rPr>
        <w:t>12</w:t>
      </w:r>
      <w:r>
        <w:rPr>
          <w:spacing w:val="15"/>
          <w:position w:val="6"/>
          <w:sz w:val="13"/>
        </w:rPr>
        <w:t xml:space="preserve"> </w:t>
      </w:r>
      <w:r>
        <w:rPr>
          <w:color w:val="333333"/>
          <w:sz w:val="20"/>
        </w:rPr>
        <w:t>Case</w:t>
      </w:r>
      <w:r>
        <w:rPr>
          <w:color w:val="333333"/>
          <w:spacing w:val="-4"/>
          <w:sz w:val="20"/>
        </w:rPr>
        <w:t xml:space="preserve"> </w:t>
      </w:r>
      <w:r>
        <w:rPr>
          <w:color w:val="333333"/>
          <w:sz w:val="20"/>
        </w:rPr>
        <w:t>T-613/19:</w:t>
      </w:r>
      <w:r>
        <w:rPr>
          <w:color w:val="333333"/>
          <w:spacing w:val="-4"/>
          <w:sz w:val="20"/>
        </w:rPr>
        <w:t xml:space="preserve"> </w:t>
      </w:r>
      <w:r>
        <w:rPr>
          <w:color w:val="333333"/>
          <w:sz w:val="20"/>
        </w:rPr>
        <w:t>Order</w:t>
      </w:r>
      <w:r>
        <w:rPr>
          <w:color w:val="333333"/>
          <w:spacing w:val="-3"/>
          <w:sz w:val="20"/>
        </w:rPr>
        <w:t xml:space="preserve"> </w:t>
      </w:r>
      <w:r>
        <w:rPr>
          <w:color w:val="333333"/>
          <w:sz w:val="20"/>
        </w:rPr>
        <w:t>of</w:t>
      </w:r>
      <w:r>
        <w:rPr>
          <w:color w:val="333333"/>
          <w:spacing w:val="-2"/>
          <w:sz w:val="20"/>
        </w:rPr>
        <w:t xml:space="preserve"> </w:t>
      </w:r>
      <w:r>
        <w:rPr>
          <w:color w:val="333333"/>
          <w:sz w:val="20"/>
        </w:rPr>
        <w:t>the</w:t>
      </w:r>
      <w:r>
        <w:rPr>
          <w:color w:val="333333"/>
          <w:spacing w:val="-4"/>
          <w:sz w:val="20"/>
        </w:rPr>
        <w:t xml:space="preserve"> </w:t>
      </w:r>
      <w:r>
        <w:rPr>
          <w:color w:val="333333"/>
          <w:sz w:val="20"/>
        </w:rPr>
        <w:t>General</w:t>
      </w:r>
      <w:r>
        <w:rPr>
          <w:color w:val="333333"/>
          <w:spacing w:val="-5"/>
          <w:sz w:val="20"/>
        </w:rPr>
        <w:t xml:space="preserve"> </w:t>
      </w:r>
      <w:r>
        <w:rPr>
          <w:color w:val="333333"/>
          <w:sz w:val="20"/>
        </w:rPr>
        <w:t>Court</w:t>
      </w:r>
      <w:r>
        <w:rPr>
          <w:color w:val="333333"/>
          <w:spacing w:val="-4"/>
          <w:sz w:val="20"/>
        </w:rPr>
        <w:t xml:space="preserve"> </w:t>
      </w:r>
      <w:r>
        <w:rPr>
          <w:color w:val="333333"/>
          <w:sz w:val="20"/>
        </w:rPr>
        <w:t>of</w:t>
      </w:r>
      <w:r>
        <w:rPr>
          <w:color w:val="333333"/>
          <w:spacing w:val="-4"/>
          <w:sz w:val="20"/>
        </w:rPr>
        <w:t xml:space="preserve"> </w:t>
      </w:r>
      <w:r>
        <w:rPr>
          <w:color w:val="333333"/>
          <w:sz w:val="20"/>
        </w:rPr>
        <w:t>2</w:t>
      </w:r>
      <w:r>
        <w:rPr>
          <w:color w:val="333333"/>
          <w:spacing w:val="-2"/>
          <w:sz w:val="20"/>
        </w:rPr>
        <w:t xml:space="preserve"> </w:t>
      </w:r>
      <w:r>
        <w:rPr>
          <w:color w:val="333333"/>
          <w:sz w:val="20"/>
        </w:rPr>
        <w:t>September</w:t>
      </w:r>
      <w:r>
        <w:rPr>
          <w:color w:val="333333"/>
          <w:spacing w:val="-4"/>
          <w:sz w:val="20"/>
        </w:rPr>
        <w:t xml:space="preserve"> </w:t>
      </w:r>
      <w:r>
        <w:rPr>
          <w:color w:val="333333"/>
          <w:sz w:val="20"/>
        </w:rPr>
        <w:t>2020 —</w:t>
      </w:r>
      <w:r>
        <w:rPr>
          <w:color w:val="333333"/>
          <w:spacing w:val="-1"/>
          <w:sz w:val="20"/>
        </w:rPr>
        <w:t xml:space="preserve"> </w:t>
      </w:r>
      <w:r>
        <w:rPr>
          <w:color w:val="333333"/>
          <w:sz w:val="20"/>
        </w:rPr>
        <w:t>ENIL</w:t>
      </w:r>
      <w:r>
        <w:rPr>
          <w:color w:val="333333"/>
          <w:spacing w:val="-2"/>
          <w:sz w:val="20"/>
        </w:rPr>
        <w:t xml:space="preserve"> </w:t>
      </w:r>
      <w:r>
        <w:rPr>
          <w:color w:val="333333"/>
          <w:sz w:val="20"/>
        </w:rPr>
        <w:t>Brussels</w:t>
      </w:r>
      <w:r>
        <w:rPr>
          <w:color w:val="333333"/>
          <w:spacing w:val="-3"/>
          <w:sz w:val="20"/>
        </w:rPr>
        <w:t xml:space="preserve"> </w:t>
      </w:r>
      <w:r>
        <w:rPr>
          <w:color w:val="333333"/>
          <w:sz w:val="20"/>
        </w:rPr>
        <w:t>Office</w:t>
      </w:r>
      <w:r>
        <w:rPr>
          <w:color w:val="333333"/>
          <w:spacing w:val="-4"/>
          <w:sz w:val="20"/>
        </w:rPr>
        <w:t xml:space="preserve"> </w:t>
      </w:r>
      <w:r>
        <w:rPr>
          <w:color w:val="333333"/>
          <w:sz w:val="20"/>
        </w:rPr>
        <w:t>and</w:t>
      </w:r>
      <w:r>
        <w:rPr>
          <w:color w:val="333333"/>
          <w:spacing w:val="-4"/>
          <w:sz w:val="20"/>
        </w:rPr>
        <w:t xml:space="preserve"> </w:t>
      </w:r>
      <w:r>
        <w:rPr>
          <w:color w:val="333333"/>
          <w:sz w:val="20"/>
        </w:rPr>
        <w:t>Others</w:t>
      </w:r>
      <w:r>
        <w:rPr>
          <w:color w:val="333333"/>
          <w:spacing w:val="-2"/>
          <w:sz w:val="20"/>
        </w:rPr>
        <w:t xml:space="preserve"> </w:t>
      </w:r>
      <w:r>
        <w:rPr>
          <w:color w:val="333333"/>
          <w:sz w:val="20"/>
        </w:rPr>
        <w:t xml:space="preserve">v Commission, available at </w:t>
      </w:r>
      <w:hyperlink r:id="rId98">
        <w:r>
          <w:rPr>
            <w:color w:val="1154CC"/>
            <w:sz w:val="20"/>
            <w:u w:val="single" w:color="1154CC"/>
          </w:rPr>
          <w:t>EUR-Lex - 62019TB0613 - EN - EUR-Lex</w:t>
        </w:r>
      </w:hyperlink>
    </w:p>
    <w:p w14:paraId="2973BDB0" w14:textId="77777777" w:rsidR="00161C10" w:rsidRDefault="00CE2C8C">
      <w:pPr>
        <w:ind w:left="360" w:right="377"/>
        <w:rPr>
          <w:sz w:val="20"/>
        </w:rPr>
      </w:pPr>
      <w:bookmarkStart w:id="12" w:name="_bookmark12"/>
      <w:bookmarkEnd w:id="12"/>
      <w:r>
        <w:rPr>
          <w:position w:val="6"/>
          <w:sz w:val="13"/>
        </w:rPr>
        <w:t>13</w:t>
      </w:r>
      <w:r>
        <w:rPr>
          <w:spacing w:val="13"/>
          <w:position w:val="6"/>
          <w:sz w:val="13"/>
        </w:rPr>
        <w:t xml:space="preserve"> </w:t>
      </w:r>
      <w:proofErr w:type="gramStart"/>
      <w:r>
        <w:rPr>
          <w:color w:val="333333"/>
          <w:sz w:val="20"/>
        </w:rPr>
        <w:t>COMMUNICATION</w:t>
      </w:r>
      <w:proofErr w:type="gramEnd"/>
      <w:r>
        <w:rPr>
          <w:color w:val="333333"/>
          <w:spacing w:val="-3"/>
          <w:sz w:val="20"/>
        </w:rPr>
        <w:t xml:space="preserve"> </w:t>
      </w:r>
      <w:r>
        <w:rPr>
          <w:color w:val="333333"/>
          <w:sz w:val="20"/>
        </w:rPr>
        <w:t>FROM</w:t>
      </w:r>
      <w:r>
        <w:rPr>
          <w:color w:val="333333"/>
          <w:spacing w:val="-4"/>
          <w:sz w:val="20"/>
        </w:rPr>
        <w:t xml:space="preserve"> </w:t>
      </w:r>
      <w:r>
        <w:rPr>
          <w:color w:val="333333"/>
          <w:sz w:val="20"/>
        </w:rPr>
        <w:t>THE</w:t>
      </w:r>
      <w:r>
        <w:rPr>
          <w:color w:val="333333"/>
          <w:spacing w:val="-6"/>
          <w:sz w:val="20"/>
        </w:rPr>
        <w:t xml:space="preserve"> </w:t>
      </w:r>
      <w:r>
        <w:rPr>
          <w:color w:val="333333"/>
          <w:sz w:val="20"/>
        </w:rPr>
        <w:t>COMMISSION</w:t>
      </w:r>
      <w:r>
        <w:rPr>
          <w:color w:val="333333"/>
          <w:spacing w:val="-6"/>
          <w:sz w:val="20"/>
        </w:rPr>
        <w:t xml:space="preserve"> </w:t>
      </w:r>
      <w:r>
        <w:rPr>
          <w:color w:val="333333"/>
          <w:sz w:val="20"/>
        </w:rPr>
        <w:t>TO</w:t>
      </w:r>
      <w:r>
        <w:rPr>
          <w:color w:val="333333"/>
          <w:spacing w:val="-5"/>
          <w:sz w:val="20"/>
        </w:rPr>
        <w:t xml:space="preserve"> </w:t>
      </w:r>
      <w:r>
        <w:rPr>
          <w:color w:val="333333"/>
          <w:sz w:val="20"/>
        </w:rPr>
        <w:t>THE</w:t>
      </w:r>
      <w:r>
        <w:rPr>
          <w:color w:val="333333"/>
          <w:spacing w:val="-4"/>
          <w:sz w:val="20"/>
        </w:rPr>
        <w:t xml:space="preserve"> </w:t>
      </w:r>
      <w:r>
        <w:rPr>
          <w:color w:val="333333"/>
          <w:sz w:val="20"/>
        </w:rPr>
        <w:t>EUROPEAN</w:t>
      </w:r>
      <w:r>
        <w:rPr>
          <w:color w:val="333333"/>
          <w:spacing w:val="-6"/>
          <w:sz w:val="20"/>
        </w:rPr>
        <w:t xml:space="preserve"> </w:t>
      </w:r>
      <w:r>
        <w:rPr>
          <w:color w:val="333333"/>
          <w:sz w:val="20"/>
        </w:rPr>
        <w:t>PARLIAMENT,</w:t>
      </w:r>
      <w:r>
        <w:rPr>
          <w:color w:val="333333"/>
          <w:spacing w:val="-6"/>
          <w:sz w:val="20"/>
        </w:rPr>
        <w:t xml:space="preserve"> </w:t>
      </w:r>
      <w:r>
        <w:rPr>
          <w:color w:val="333333"/>
          <w:sz w:val="20"/>
        </w:rPr>
        <w:t>THE</w:t>
      </w:r>
      <w:r>
        <w:rPr>
          <w:color w:val="333333"/>
          <w:spacing w:val="-6"/>
          <w:sz w:val="20"/>
        </w:rPr>
        <w:t xml:space="preserve"> </w:t>
      </w:r>
      <w:r>
        <w:rPr>
          <w:color w:val="333333"/>
          <w:sz w:val="20"/>
        </w:rPr>
        <w:t>COUNCIL, THE</w:t>
      </w:r>
      <w:r>
        <w:rPr>
          <w:color w:val="333333"/>
          <w:spacing w:val="-7"/>
          <w:sz w:val="20"/>
        </w:rPr>
        <w:t xml:space="preserve"> </w:t>
      </w:r>
      <w:r>
        <w:rPr>
          <w:color w:val="333333"/>
          <w:sz w:val="20"/>
        </w:rPr>
        <w:t>EUROPEAN</w:t>
      </w:r>
      <w:r>
        <w:rPr>
          <w:color w:val="333333"/>
          <w:spacing w:val="-7"/>
          <w:sz w:val="20"/>
        </w:rPr>
        <w:t xml:space="preserve"> </w:t>
      </w:r>
      <w:r>
        <w:rPr>
          <w:color w:val="333333"/>
          <w:sz w:val="20"/>
        </w:rPr>
        <w:t>ECONOMIC</w:t>
      </w:r>
      <w:r>
        <w:rPr>
          <w:color w:val="333333"/>
          <w:spacing w:val="-5"/>
          <w:sz w:val="20"/>
        </w:rPr>
        <w:t xml:space="preserve"> </w:t>
      </w:r>
      <w:r>
        <w:rPr>
          <w:color w:val="333333"/>
          <w:sz w:val="20"/>
        </w:rPr>
        <w:t>AND</w:t>
      </w:r>
      <w:r>
        <w:rPr>
          <w:color w:val="333333"/>
          <w:spacing w:val="-4"/>
          <w:sz w:val="20"/>
        </w:rPr>
        <w:t xml:space="preserve"> </w:t>
      </w:r>
      <w:r>
        <w:rPr>
          <w:color w:val="333333"/>
          <w:sz w:val="20"/>
        </w:rPr>
        <w:t>SOCIAL</w:t>
      </w:r>
      <w:r>
        <w:rPr>
          <w:color w:val="333333"/>
          <w:spacing w:val="-7"/>
          <w:sz w:val="20"/>
        </w:rPr>
        <w:t xml:space="preserve"> </w:t>
      </w:r>
      <w:r>
        <w:rPr>
          <w:color w:val="333333"/>
          <w:sz w:val="20"/>
        </w:rPr>
        <w:t>COMMITTEE</w:t>
      </w:r>
      <w:r>
        <w:rPr>
          <w:color w:val="333333"/>
          <w:spacing w:val="-5"/>
          <w:sz w:val="20"/>
        </w:rPr>
        <w:t xml:space="preserve"> </w:t>
      </w:r>
      <w:r>
        <w:rPr>
          <w:color w:val="333333"/>
          <w:sz w:val="20"/>
        </w:rPr>
        <w:t>AND</w:t>
      </w:r>
      <w:r>
        <w:rPr>
          <w:color w:val="333333"/>
          <w:spacing w:val="-6"/>
          <w:sz w:val="20"/>
        </w:rPr>
        <w:t xml:space="preserve"> </w:t>
      </w:r>
      <w:r>
        <w:rPr>
          <w:color w:val="333333"/>
          <w:sz w:val="20"/>
        </w:rPr>
        <w:t>THE</w:t>
      </w:r>
      <w:r>
        <w:rPr>
          <w:color w:val="333333"/>
          <w:spacing w:val="-7"/>
          <w:sz w:val="20"/>
        </w:rPr>
        <w:t xml:space="preserve"> </w:t>
      </w:r>
      <w:r>
        <w:rPr>
          <w:color w:val="333333"/>
          <w:sz w:val="20"/>
        </w:rPr>
        <w:t>COMMITTEE</w:t>
      </w:r>
      <w:r>
        <w:rPr>
          <w:color w:val="333333"/>
          <w:spacing w:val="-7"/>
          <w:sz w:val="20"/>
        </w:rPr>
        <w:t xml:space="preserve"> </w:t>
      </w:r>
      <w:r>
        <w:rPr>
          <w:color w:val="333333"/>
          <w:sz w:val="20"/>
        </w:rPr>
        <w:t>OF</w:t>
      </w:r>
      <w:r>
        <w:rPr>
          <w:color w:val="333333"/>
          <w:spacing w:val="-6"/>
          <w:sz w:val="20"/>
        </w:rPr>
        <w:t xml:space="preserve"> </w:t>
      </w:r>
      <w:r>
        <w:rPr>
          <w:color w:val="333333"/>
          <w:sz w:val="20"/>
        </w:rPr>
        <w:t>THE</w:t>
      </w:r>
      <w:r>
        <w:rPr>
          <w:color w:val="333333"/>
          <w:spacing w:val="-6"/>
          <w:sz w:val="20"/>
        </w:rPr>
        <w:t xml:space="preserve"> </w:t>
      </w:r>
      <w:r>
        <w:rPr>
          <w:color w:val="333333"/>
          <w:spacing w:val="-2"/>
          <w:sz w:val="20"/>
        </w:rPr>
        <w:t>REGIONS</w:t>
      </w:r>
    </w:p>
    <w:p w14:paraId="5840DBF5" w14:textId="77777777" w:rsidR="00161C10" w:rsidRPr="005B2E9B" w:rsidRDefault="00CE2C8C">
      <w:pPr>
        <w:spacing w:before="2"/>
        <w:ind w:left="360" w:right="377"/>
        <w:rPr>
          <w:sz w:val="20"/>
          <w:lang w:val="fr-BE"/>
        </w:rPr>
      </w:pPr>
      <w:r>
        <w:rPr>
          <w:color w:val="333333"/>
          <w:sz w:val="20"/>
        </w:rPr>
        <w:t>on</w:t>
      </w:r>
      <w:r>
        <w:rPr>
          <w:color w:val="333333"/>
          <w:spacing w:val="-5"/>
          <w:sz w:val="20"/>
        </w:rPr>
        <w:t xml:space="preserve"> </w:t>
      </w:r>
      <w:r>
        <w:rPr>
          <w:color w:val="333333"/>
          <w:sz w:val="20"/>
        </w:rPr>
        <w:t>the</w:t>
      </w:r>
      <w:r>
        <w:rPr>
          <w:color w:val="333333"/>
          <w:spacing w:val="-5"/>
          <w:sz w:val="20"/>
        </w:rPr>
        <w:t xml:space="preserve"> </w:t>
      </w:r>
      <w:r>
        <w:rPr>
          <w:color w:val="333333"/>
          <w:sz w:val="20"/>
        </w:rPr>
        <w:t>European</w:t>
      </w:r>
      <w:r>
        <w:rPr>
          <w:color w:val="333333"/>
          <w:spacing w:val="-5"/>
          <w:sz w:val="20"/>
        </w:rPr>
        <w:t xml:space="preserve"> </w:t>
      </w:r>
      <w:r>
        <w:rPr>
          <w:color w:val="333333"/>
          <w:sz w:val="20"/>
        </w:rPr>
        <w:t>care</w:t>
      </w:r>
      <w:r>
        <w:rPr>
          <w:color w:val="333333"/>
          <w:spacing w:val="-5"/>
          <w:sz w:val="20"/>
        </w:rPr>
        <w:t xml:space="preserve"> </w:t>
      </w:r>
      <w:r>
        <w:rPr>
          <w:color w:val="333333"/>
          <w:sz w:val="20"/>
        </w:rPr>
        <w:t>strategy.</w:t>
      </w:r>
      <w:r>
        <w:rPr>
          <w:color w:val="333333"/>
          <w:spacing w:val="-5"/>
          <w:sz w:val="20"/>
        </w:rPr>
        <w:t xml:space="preserve"> </w:t>
      </w:r>
      <w:r w:rsidRPr="005B2E9B">
        <w:rPr>
          <w:color w:val="333333"/>
          <w:sz w:val="20"/>
          <w:lang w:val="fr-BE"/>
        </w:rPr>
        <w:t>COM/2022/440</w:t>
      </w:r>
      <w:r w:rsidRPr="005B2E9B">
        <w:rPr>
          <w:color w:val="333333"/>
          <w:spacing w:val="-5"/>
          <w:sz w:val="20"/>
          <w:lang w:val="fr-BE"/>
        </w:rPr>
        <w:t xml:space="preserve"> </w:t>
      </w:r>
      <w:r w:rsidRPr="005B2E9B">
        <w:rPr>
          <w:color w:val="333333"/>
          <w:sz w:val="20"/>
          <w:lang w:val="fr-BE"/>
        </w:rPr>
        <w:t>final.</w:t>
      </w:r>
      <w:r w:rsidRPr="005B2E9B">
        <w:rPr>
          <w:color w:val="333333"/>
          <w:spacing w:val="-3"/>
          <w:sz w:val="20"/>
          <w:lang w:val="fr-BE"/>
        </w:rPr>
        <w:t xml:space="preserve"> </w:t>
      </w:r>
      <w:r w:rsidRPr="005B2E9B">
        <w:rPr>
          <w:color w:val="333333"/>
          <w:sz w:val="20"/>
          <w:lang w:val="fr-BE"/>
        </w:rPr>
        <w:t>Available</w:t>
      </w:r>
      <w:r w:rsidRPr="005B2E9B">
        <w:rPr>
          <w:color w:val="333333"/>
          <w:spacing w:val="-3"/>
          <w:sz w:val="20"/>
          <w:lang w:val="fr-BE"/>
        </w:rPr>
        <w:t xml:space="preserve"> </w:t>
      </w:r>
      <w:r w:rsidRPr="005B2E9B">
        <w:rPr>
          <w:color w:val="333333"/>
          <w:sz w:val="20"/>
          <w:lang w:val="fr-BE"/>
        </w:rPr>
        <w:t xml:space="preserve">at </w:t>
      </w:r>
      <w:hyperlink r:id="rId99">
        <w:r w:rsidRPr="005B2E9B">
          <w:rPr>
            <w:color w:val="1154CC"/>
            <w:sz w:val="20"/>
            <w:u w:val="single" w:color="1154CC"/>
            <w:lang w:val="fr-BE"/>
          </w:rPr>
          <w:t>EUR-Lex</w:t>
        </w:r>
        <w:r w:rsidRPr="005B2E9B">
          <w:rPr>
            <w:color w:val="1154CC"/>
            <w:spacing w:val="-3"/>
            <w:sz w:val="20"/>
            <w:u w:val="single" w:color="1154CC"/>
            <w:lang w:val="fr-BE"/>
          </w:rPr>
          <w:t xml:space="preserve"> </w:t>
        </w:r>
        <w:r w:rsidRPr="005B2E9B">
          <w:rPr>
            <w:color w:val="1154CC"/>
            <w:sz w:val="20"/>
            <w:u w:val="single" w:color="1154CC"/>
            <w:lang w:val="fr-BE"/>
          </w:rPr>
          <w:t>-</w:t>
        </w:r>
        <w:r w:rsidRPr="005B2E9B">
          <w:rPr>
            <w:color w:val="1154CC"/>
            <w:spacing w:val="-2"/>
            <w:sz w:val="20"/>
            <w:u w:val="single" w:color="1154CC"/>
            <w:lang w:val="fr-BE"/>
          </w:rPr>
          <w:t xml:space="preserve"> </w:t>
        </w:r>
        <w:r w:rsidRPr="005B2E9B">
          <w:rPr>
            <w:color w:val="1154CC"/>
            <w:sz w:val="20"/>
            <w:u w:val="single" w:color="1154CC"/>
            <w:lang w:val="fr-BE"/>
          </w:rPr>
          <w:t>52022DC0440</w:t>
        </w:r>
        <w:r w:rsidRPr="005B2E9B">
          <w:rPr>
            <w:color w:val="1154CC"/>
            <w:spacing w:val="-2"/>
            <w:sz w:val="20"/>
            <w:u w:val="single" w:color="1154CC"/>
            <w:lang w:val="fr-BE"/>
          </w:rPr>
          <w:t xml:space="preserve"> </w:t>
        </w:r>
        <w:r w:rsidRPr="005B2E9B">
          <w:rPr>
            <w:color w:val="1154CC"/>
            <w:sz w:val="20"/>
            <w:u w:val="single" w:color="1154CC"/>
            <w:lang w:val="fr-BE"/>
          </w:rPr>
          <w:t>-</w:t>
        </w:r>
        <w:r w:rsidRPr="005B2E9B">
          <w:rPr>
            <w:color w:val="1154CC"/>
            <w:spacing w:val="-4"/>
            <w:sz w:val="20"/>
            <w:u w:val="single" w:color="1154CC"/>
            <w:lang w:val="fr-BE"/>
          </w:rPr>
          <w:t xml:space="preserve"> </w:t>
        </w:r>
        <w:r w:rsidRPr="005B2E9B">
          <w:rPr>
            <w:color w:val="1154CC"/>
            <w:sz w:val="20"/>
            <w:u w:val="single" w:color="1154CC"/>
            <w:lang w:val="fr-BE"/>
          </w:rPr>
          <w:t>EN</w:t>
        </w:r>
        <w:r w:rsidRPr="005B2E9B">
          <w:rPr>
            <w:color w:val="1154CC"/>
            <w:spacing w:val="-5"/>
            <w:sz w:val="20"/>
            <w:u w:val="single" w:color="1154CC"/>
            <w:lang w:val="fr-BE"/>
          </w:rPr>
          <w:t xml:space="preserve"> </w:t>
        </w:r>
        <w:r w:rsidRPr="005B2E9B">
          <w:rPr>
            <w:color w:val="1154CC"/>
            <w:sz w:val="20"/>
            <w:u w:val="single" w:color="1154CC"/>
            <w:lang w:val="fr-BE"/>
          </w:rPr>
          <w:t>-</w:t>
        </w:r>
        <w:r w:rsidRPr="005B2E9B">
          <w:rPr>
            <w:color w:val="1154CC"/>
            <w:spacing w:val="-2"/>
            <w:sz w:val="20"/>
            <w:u w:val="single" w:color="1154CC"/>
            <w:lang w:val="fr-BE"/>
          </w:rPr>
          <w:t xml:space="preserve"> </w:t>
        </w:r>
        <w:r w:rsidRPr="005B2E9B">
          <w:rPr>
            <w:color w:val="1154CC"/>
            <w:sz w:val="20"/>
            <w:u w:val="single" w:color="1154CC"/>
            <w:lang w:val="fr-BE"/>
          </w:rPr>
          <w:t>EUR-</w:t>
        </w:r>
      </w:hyperlink>
      <w:r w:rsidRPr="005B2E9B">
        <w:rPr>
          <w:color w:val="1154CC"/>
          <w:sz w:val="20"/>
          <w:lang w:val="fr-BE"/>
        </w:rPr>
        <w:t xml:space="preserve"> </w:t>
      </w:r>
      <w:hyperlink r:id="rId100">
        <w:r w:rsidRPr="005B2E9B">
          <w:rPr>
            <w:color w:val="1154CC"/>
            <w:spacing w:val="-4"/>
            <w:sz w:val="20"/>
            <w:u w:val="single" w:color="1154CC"/>
            <w:lang w:val="fr-BE"/>
          </w:rPr>
          <w:t>Lex</w:t>
        </w:r>
      </w:hyperlink>
    </w:p>
    <w:p w14:paraId="4B4329BC" w14:textId="77777777" w:rsidR="00161C10" w:rsidRPr="005B2E9B" w:rsidRDefault="00161C10">
      <w:pPr>
        <w:rPr>
          <w:sz w:val="20"/>
          <w:lang w:val="fr-BE"/>
        </w:rPr>
        <w:sectPr w:rsidR="00161C10" w:rsidRPr="005B2E9B">
          <w:pgSz w:w="12240" w:h="15840"/>
          <w:pgMar w:top="1360" w:right="1080" w:bottom="1540" w:left="1080" w:header="0" w:footer="1274" w:gutter="0"/>
          <w:cols w:space="720"/>
        </w:sectPr>
      </w:pPr>
    </w:p>
    <w:p w14:paraId="6AA4E211" w14:textId="77777777" w:rsidR="00161C10" w:rsidRDefault="00CE2C8C">
      <w:pPr>
        <w:spacing w:before="81" w:line="276" w:lineRule="auto"/>
        <w:ind w:left="360" w:right="354"/>
        <w:jc w:val="both"/>
        <w:rPr>
          <w:sz w:val="24"/>
        </w:rPr>
      </w:pPr>
      <w:r>
        <w:rPr>
          <w:rFonts w:ascii="Arial" w:hAnsi="Arial"/>
          <w:i/>
          <w:sz w:val="24"/>
        </w:rPr>
        <w:lastRenderedPageBreak/>
        <w:t>(homecare, community-based care and residential care) … and ensure that long-term care services and facilities are accessible to people with disabilities</w:t>
      </w:r>
      <w:r>
        <w:rPr>
          <w:sz w:val="24"/>
        </w:rPr>
        <w:t>”.</w:t>
      </w:r>
    </w:p>
    <w:p w14:paraId="52819F09" w14:textId="77777777" w:rsidR="00161C10" w:rsidRDefault="00CE2C8C">
      <w:pPr>
        <w:pStyle w:val="BodyText"/>
        <w:spacing w:before="118" w:line="276" w:lineRule="auto"/>
        <w:ind w:left="360" w:right="357"/>
        <w:jc w:val="both"/>
      </w:pPr>
      <w:r>
        <w:t>The</w:t>
      </w:r>
      <w:r>
        <w:rPr>
          <w:spacing w:val="-4"/>
        </w:rPr>
        <w:t xml:space="preserve"> </w:t>
      </w:r>
      <w:r>
        <w:t>European</w:t>
      </w:r>
      <w:r>
        <w:rPr>
          <w:spacing w:val="-5"/>
        </w:rPr>
        <w:t xml:space="preserve"> </w:t>
      </w:r>
      <w:r>
        <w:t>Care</w:t>
      </w:r>
      <w:r>
        <w:rPr>
          <w:spacing w:val="-5"/>
        </w:rPr>
        <w:t xml:space="preserve"> </w:t>
      </w:r>
      <w:r>
        <w:t>Strategy,</w:t>
      </w:r>
      <w:r>
        <w:rPr>
          <w:spacing w:val="-5"/>
        </w:rPr>
        <w:t xml:space="preserve"> </w:t>
      </w:r>
      <w:r>
        <w:t>which</w:t>
      </w:r>
      <w:r>
        <w:rPr>
          <w:spacing w:val="-5"/>
        </w:rPr>
        <w:t xml:space="preserve"> </w:t>
      </w:r>
      <w:r>
        <w:t>ENIL</w:t>
      </w:r>
      <w:r>
        <w:rPr>
          <w:spacing w:val="-5"/>
        </w:rPr>
        <w:t xml:space="preserve"> </w:t>
      </w:r>
      <w:r>
        <w:t>believes</w:t>
      </w:r>
      <w:r>
        <w:rPr>
          <w:spacing w:val="-1"/>
        </w:rPr>
        <w:t xml:space="preserve"> </w:t>
      </w:r>
      <w:r>
        <w:t>might</w:t>
      </w:r>
      <w:r>
        <w:rPr>
          <w:spacing w:val="-4"/>
        </w:rPr>
        <w:t xml:space="preserve"> </w:t>
      </w:r>
      <w:r>
        <w:t>lead</w:t>
      </w:r>
      <w:r>
        <w:rPr>
          <w:spacing w:val="-4"/>
        </w:rPr>
        <w:t xml:space="preserve"> </w:t>
      </w:r>
      <w:r>
        <w:t>to</w:t>
      </w:r>
      <w:r>
        <w:rPr>
          <w:spacing w:val="-1"/>
        </w:rPr>
        <w:t xml:space="preserve"> </w:t>
      </w:r>
      <w:r>
        <w:t>further</w:t>
      </w:r>
      <w:r>
        <w:rPr>
          <w:spacing w:val="-4"/>
        </w:rPr>
        <w:t xml:space="preserve"> </w:t>
      </w:r>
      <w:r>
        <w:t>investments</w:t>
      </w:r>
      <w:r>
        <w:rPr>
          <w:spacing w:val="-5"/>
        </w:rPr>
        <w:t xml:space="preserve"> </w:t>
      </w:r>
      <w:r>
        <w:t>into residential care for disabled people and indefinitely delay deinstitutionalisation efforts in the EU, is indicative of the lack of coordination between different departments in the Commission and the failure to mainstream UNCRPD across all policy areas.</w:t>
      </w:r>
    </w:p>
    <w:p w14:paraId="51BEF595" w14:textId="77777777" w:rsidR="00161C10" w:rsidRDefault="00CE2C8C">
      <w:pPr>
        <w:spacing w:before="121"/>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25E042C0" w14:textId="77777777" w:rsidR="00161C10" w:rsidRDefault="00CE2C8C">
      <w:pPr>
        <w:pStyle w:val="BodyText"/>
        <w:spacing w:before="2"/>
        <w:rPr>
          <w:rFonts w:ascii="Arial"/>
          <w:b/>
          <w:i/>
          <w:sz w:val="12"/>
        </w:rPr>
      </w:pPr>
      <w:r>
        <w:rPr>
          <w:rFonts w:ascii="Arial"/>
          <w:b/>
          <w:i/>
          <w:noProof/>
          <w:sz w:val="12"/>
        </w:rPr>
        <mc:AlternateContent>
          <mc:Choice Requires="wps">
            <w:drawing>
              <wp:anchor distT="0" distB="0" distL="0" distR="0" simplePos="0" relativeHeight="487602176" behindDoc="1" locked="0" layoutInCell="1" allowOverlap="1" wp14:anchorId="5FDD6F8E" wp14:editId="4D0D7AF1">
                <wp:simplePos x="0" y="0"/>
                <wp:positionH relativeFrom="page">
                  <wp:posOffset>843076</wp:posOffset>
                </wp:positionH>
                <wp:positionV relativeFrom="paragraph">
                  <wp:posOffset>107813</wp:posOffset>
                </wp:positionV>
                <wp:extent cx="6088380" cy="83566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835660"/>
                        </a:xfrm>
                        <a:prstGeom prst="rect">
                          <a:avLst/>
                        </a:prstGeom>
                        <a:ln w="6095">
                          <a:solidFill>
                            <a:srgbClr val="000000"/>
                          </a:solidFill>
                          <a:prstDash val="solid"/>
                        </a:ln>
                      </wps:spPr>
                      <wps:txbx>
                        <w:txbxContent>
                          <w:p w14:paraId="442854A2" w14:textId="77777777" w:rsidR="00161C10" w:rsidRDefault="00CE2C8C">
                            <w:pPr>
                              <w:spacing w:before="19" w:line="276" w:lineRule="auto"/>
                              <w:ind w:left="108" w:right="106"/>
                              <w:jc w:val="both"/>
                              <w:rPr>
                                <w:rFonts w:ascii="Arial"/>
                                <w:b/>
                                <w:sz w:val="24"/>
                              </w:rPr>
                            </w:pPr>
                            <w:r>
                              <w:rPr>
                                <w:rFonts w:ascii="Arial"/>
                                <w:b/>
                                <w:sz w:val="24"/>
                              </w:rPr>
                              <w:t xml:space="preserve">The Committee recommends that the EU revises its long-term care strategy </w:t>
                            </w:r>
                            <w:proofErr w:type="gramStart"/>
                            <w:r>
                              <w:rPr>
                                <w:rFonts w:ascii="Arial"/>
                                <w:b/>
                                <w:sz w:val="24"/>
                              </w:rPr>
                              <w:t>in order to</w:t>
                            </w:r>
                            <w:proofErr w:type="gramEnd"/>
                            <w:r>
                              <w:rPr>
                                <w:rFonts w:ascii="Arial"/>
                                <w:b/>
                                <w:sz w:val="24"/>
                              </w:rPr>
                              <w:t xml:space="preserve"> align it with the UNCRPD and to empower disabled people as rights holders, in charge of their own lives and the support they receive, and not as recipients of care, in consultation with disabled people and DPOs.</w:t>
                            </w:r>
                          </w:p>
                        </w:txbxContent>
                      </wps:txbx>
                      <wps:bodyPr wrap="square" lIns="0" tIns="0" rIns="0" bIns="0" rtlCol="0">
                        <a:noAutofit/>
                      </wps:bodyPr>
                    </wps:wsp>
                  </a:graphicData>
                </a:graphic>
              </wp:anchor>
            </w:drawing>
          </mc:Choice>
          <mc:Fallback>
            <w:pict>
              <v:shape w14:anchorId="5FDD6F8E" id="Textbox 39" o:spid="_x0000_s1052" type="#_x0000_t202" style="position:absolute;margin-left:66.4pt;margin-top:8.5pt;width:479.4pt;height:65.8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" filled="f" strokeweight=".16931mm">
                <v:path arrowok="t"/>
                <v:textbox inset="0,0,0,0">
                  <w:txbxContent>
                    <w:p w14:paraId="442854A2" w14:textId="77777777" w:rsidR="00161C10" w:rsidRDefault="00CE2C8C">
                      <w:pPr>
                        <w:spacing w:before="19" w:line="276" w:lineRule="auto"/>
                        <w:ind w:left="108" w:right="106"/>
                        <w:jc w:val="both"/>
                        <w:rPr>
                          <w:rFonts w:ascii="Arial"/>
                          <w:b/>
                          <w:sz w:val="24"/>
                        </w:rPr>
                      </w:pPr>
                      <w:r>
                        <w:rPr>
                          <w:rFonts w:ascii="Arial"/>
                          <w:b/>
                          <w:sz w:val="24"/>
                        </w:rPr>
                        <w:t xml:space="preserve">The Committee recommends that the EU revises its long-term care strategy </w:t>
                      </w:r>
                      <w:proofErr w:type="gramStart"/>
                      <w:r>
                        <w:rPr>
                          <w:rFonts w:ascii="Arial"/>
                          <w:b/>
                          <w:sz w:val="24"/>
                        </w:rPr>
                        <w:t>in order to</w:t>
                      </w:r>
                      <w:proofErr w:type="gramEnd"/>
                      <w:r>
                        <w:rPr>
                          <w:rFonts w:ascii="Arial"/>
                          <w:b/>
                          <w:sz w:val="24"/>
                        </w:rPr>
                        <w:t xml:space="preserve"> align it with the UNCRPD and to empower disabled people as rights holders, in charge of their own lives and the support they receive, and not as recipients of care, in consultation with disabled people and DPOs.</w:t>
                      </w:r>
                    </w:p>
                  </w:txbxContent>
                </v:textbox>
                <w10:wrap type="topAndBottom" anchorx="page"/>
              </v:shape>
            </w:pict>
          </mc:Fallback>
        </mc:AlternateContent>
      </w:r>
    </w:p>
    <w:p w14:paraId="276D8FA0" w14:textId="77777777" w:rsidR="00161C10" w:rsidRDefault="00CE2C8C">
      <w:pPr>
        <w:pStyle w:val="Heading3"/>
        <w:numPr>
          <w:ilvl w:val="2"/>
          <w:numId w:val="8"/>
        </w:numPr>
        <w:tabs>
          <w:tab w:val="left" w:pos="1135"/>
        </w:tabs>
        <w:ind w:left="1135" w:hanging="775"/>
      </w:pPr>
      <w:r>
        <w:t>Work</w:t>
      </w:r>
      <w:r>
        <w:rPr>
          <w:spacing w:val="-6"/>
        </w:rPr>
        <w:t xml:space="preserve"> </w:t>
      </w:r>
      <w:r>
        <w:t>and</w:t>
      </w:r>
      <w:r>
        <w:rPr>
          <w:spacing w:val="-6"/>
        </w:rPr>
        <w:t xml:space="preserve"> </w:t>
      </w:r>
      <w:r>
        <w:t>employment</w:t>
      </w:r>
      <w:r>
        <w:rPr>
          <w:spacing w:val="-2"/>
        </w:rPr>
        <w:t xml:space="preserve"> </w:t>
      </w:r>
      <w:r>
        <w:t>(art.</w:t>
      </w:r>
      <w:r>
        <w:rPr>
          <w:spacing w:val="-3"/>
        </w:rPr>
        <w:t xml:space="preserve"> </w:t>
      </w:r>
      <w:r>
        <w:rPr>
          <w:spacing w:val="-5"/>
        </w:rPr>
        <w:t>27)</w:t>
      </w:r>
    </w:p>
    <w:p w14:paraId="312BB8BB" w14:textId="77777777" w:rsidR="00161C10" w:rsidRDefault="00CE2C8C">
      <w:pPr>
        <w:pStyle w:val="BodyText"/>
        <w:spacing w:before="169" w:line="276" w:lineRule="auto"/>
        <w:ind w:left="360" w:right="354"/>
        <w:jc w:val="both"/>
      </w:pPr>
      <w:r>
        <w:t>An area that</w:t>
      </w:r>
      <w:r>
        <w:rPr>
          <w:spacing w:val="-2"/>
        </w:rPr>
        <w:t xml:space="preserve"> </w:t>
      </w:r>
      <w:r>
        <w:t>has</w:t>
      </w:r>
      <w:r>
        <w:rPr>
          <w:spacing w:val="-2"/>
        </w:rPr>
        <w:t xml:space="preserve"> </w:t>
      </w:r>
      <w:r>
        <w:t>not been</w:t>
      </w:r>
      <w:r>
        <w:rPr>
          <w:spacing w:val="-2"/>
        </w:rPr>
        <w:t xml:space="preserve"> </w:t>
      </w:r>
      <w:r>
        <w:t>addressed</w:t>
      </w:r>
      <w:r>
        <w:rPr>
          <w:spacing w:val="-1"/>
        </w:rPr>
        <w:t xml:space="preserve"> </w:t>
      </w:r>
      <w:r>
        <w:t>in the</w:t>
      </w:r>
      <w:r>
        <w:rPr>
          <w:spacing w:val="-1"/>
        </w:rPr>
        <w:t xml:space="preserve"> </w:t>
      </w:r>
      <w:r>
        <w:t>list of issues</w:t>
      </w:r>
      <w:r>
        <w:rPr>
          <w:spacing w:val="-2"/>
        </w:rPr>
        <w:t xml:space="preserve"> </w:t>
      </w:r>
      <w:r>
        <w:t>or</w:t>
      </w:r>
      <w:r>
        <w:rPr>
          <w:spacing w:val="-1"/>
        </w:rPr>
        <w:t xml:space="preserve"> </w:t>
      </w:r>
      <w:r>
        <w:t xml:space="preserve">the European Union’s report is the use of state aid to finance sheltered employment. So far, state aid legislation has not been </w:t>
      </w:r>
      <w:proofErr w:type="gramStart"/>
      <w:r>
        <w:t>taken into account</w:t>
      </w:r>
      <w:proofErr w:type="gramEnd"/>
      <w:r>
        <w:t xml:space="preserve"> by the Commission as an area which requires reform to ensure</w:t>
      </w:r>
      <w:r>
        <w:rPr>
          <w:spacing w:val="-10"/>
        </w:rPr>
        <w:t xml:space="preserve"> </w:t>
      </w:r>
      <w:r>
        <w:t>UNCRPD</w:t>
      </w:r>
      <w:r>
        <w:rPr>
          <w:spacing w:val="-8"/>
        </w:rPr>
        <w:t xml:space="preserve"> </w:t>
      </w:r>
      <w:r>
        <w:t>compliance.</w:t>
      </w:r>
      <w:r>
        <w:rPr>
          <w:spacing w:val="-10"/>
        </w:rPr>
        <w:t xml:space="preserve"> </w:t>
      </w:r>
      <w:r>
        <w:t>However,</w:t>
      </w:r>
      <w:r>
        <w:rPr>
          <w:spacing w:val="-10"/>
        </w:rPr>
        <w:t xml:space="preserve"> </w:t>
      </w:r>
      <w:r>
        <w:t>exceptions</w:t>
      </w:r>
      <w:r>
        <w:rPr>
          <w:spacing w:val="-8"/>
        </w:rPr>
        <w:t xml:space="preserve"> </w:t>
      </w:r>
      <w:r>
        <w:t>and</w:t>
      </w:r>
      <w:r>
        <w:rPr>
          <w:spacing w:val="-9"/>
        </w:rPr>
        <w:t xml:space="preserve"> </w:t>
      </w:r>
      <w:r>
        <w:t>absence</w:t>
      </w:r>
      <w:r>
        <w:rPr>
          <w:spacing w:val="-9"/>
        </w:rPr>
        <w:t xml:space="preserve"> </w:t>
      </w:r>
      <w:r>
        <w:t>or</w:t>
      </w:r>
      <w:r>
        <w:rPr>
          <w:spacing w:val="-8"/>
        </w:rPr>
        <w:t xml:space="preserve"> </w:t>
      </w:r>
      <w:r>
        <w:t>regulation</w:t>
      </w:r>
      <w:r>
        <w:rPr>
          <w:spacing w:val="-9"/>
        </w:rPr>
        <w:t xml:space="preserve"> </w:t>
      </w:r>
      <w:r>
        <w:t>has</w:t>
      </w:r>
      <w:r>
        <w:rPr>
          <w:spacing w:val="-8"/>
        </w:rPr>
        <w:t xml:space="preserve"> </w:t>
      </w:r>
      <w:r>
        <w:t>led</w:t>
      </w:r>
      <w:r>
        <w:rPr>
          <w:spacing w:val="-9"/>
        </w:rPr>
        <w:t xml:space="preserve"> </w:t>
      </w:r>
      <w:r>
        <w:t>to widespread</w:t>
      </w:r>
      <w:r>
        <w:rPr>
          <w:spacing w:val="-1"/>
        </w:rPr>
        <w:t xml:space="preserve"> </w:t>
      </w:r>
      <w:r>
        <w:t>financing</w:t>
      </w:r>
      <w:r>
        <w:rPr>
          <w:spacing w:val="-4"/>
        </w:rPr>
        <w:t xml:space="preserve"> </w:t>
      </w:r>
      <w:r>
        <w:t>of</w:t>
      </w:r>
      <w:r>
        <w:rPr>
          <w:spacing w:val="-1"/>
        </w:rPr>
        <w:t xml:space="preserve"> </w:t>
      </w:r>
      <w:r>
        <w:t>sheltered</w:t>
      </w:r>
      <w:r>
        <w:rPr>
          <w:spacing w:val="-1"/>
        </w:rPr>
        <w:t xml:space="preserve"> </w:t>
      </w:r>
      <w:r>
        <w:t xml:space="preserve">workshops. </w:t>
      </w:r>
      <w:hyperlink r:id="rId101">
        <w:r>
          <w:rPr>
            <w:color w:val="1154CC"/>
            <w:u w:val="single" w:color="1154CC"/>
          </w:rPr>
          <w:t>Research</w:t>
        </w:r>
      </w:hyperlink>
      <w:r>
        <w:rPr>
          <w:color w:val="1154CC"/>
          <w:u w:val="single" w:color="1154CC"/>
        </w:rPr>
        <w:t xml:space="preserve"> </w:t>
      </w:r>
      <w:r>
        <w:t>by</w:t>
      </w:r>
      <w:r>
        <w:rPr>
          <w:spacing w:val="-4"/>
        </w:rPr>
        <w:t xml:space="preserve"> </w:t>
      </w:r>
      <w:r>
        <w:t>the</w:t>
      </w:r>
      <w:r>
        <w:rPr>
          <w:spacing w:val="-1"/>
        </w:rPr>
        <w:t xml:space="preserve"> </w:t>
      </w:r>
      <w:r>
        <w:t>European</w:t>
      </w:r>
      <w:r>
        <w:rPr>
          <w:spacing w:val="-4"/>
        </w:rPr>
        <w:t xml:space="preserve"> </w:t>
      </w:r>
      <w:r>
        <w:t>Association</w:t>
      </w:r>
      <w:r>
        <w:rPr>
          <w:spacing w:val="-4"/>
        </w:rPr>
        <w:t xml:space="preserve"> </w:t>
      </w:r>
      <w:r>
        <w:t>of Service</w:t>
      </w:r>
      <w:r>
        <w:rPr>
          <w:spacing w:val="-16"/>
        </w:rPr>
        <w:t xml:space="preserve"> </w:t>
      </w:r>
      <w:r>
        <w:t>Providers</w:t>
      </w:r>
      <w:r>
        <w:rPr>
          <w:spacing w:val="-16"/>
        </w:rPr>
        <w:t xml:space="preserve"> </w:t>
      </w:r>
      <w:r>
        <w:t>for</w:t>
      </w:r>
      <w:r>
        <w:rPr>
          <w:spacing w:val="-17"/>
        </w:rPr>
        <w:t xml:space="preserve"> </w:t>
      </w:r>
      <w:r>
        <w:t>Persons</w:t>
      </w:r>
      <w:r>
        <w:rPr>
          <w:spacing w:val="-15"/>
        </w:rPr>
        <w:t xml:space="preserve"> </w:t>
      </w:r>
      <w:r>
        <w:t>with</w:t>
      </w:r>
      <w:r>
        <w:rPr>
          <w:spacing w:val="-16"/>
        </w:rPr>
        <w:t xml:space="preserve"> </w:t>
      </w:r>
      <w:r>
        <w:t>Disabilities</w:t>
      </w:r>
      <w:r>
        <w:rPr>
          <w:spacing w:val="-17"/>
        </w:rPr>
        <w:t xml:space="preserve"> </w:t>
      </w:r>
      <w:r>
        <w:t>(EASPD)</w:t>
      </w:r>
      <w:r>
        <w:rPr>
          <w:spacing w:val="-16"/>
        </w:rPr>
        <w:t xml:space="preserve"> </w:t>
      </w:r>
      <w:r>
        <w:t>found</w:t>
      </w:r>
      <w:r>
        <w:rPr>
          <w:spacing w:val="-15"/>
        </w:rPr>
        <w:t xml:space="preserve"> </w:t>
      </w:r>
      <w:r>
        <w:t>that</w:t>
      </w:r>
      <w:r>
        <w:rPr>
          <w:spacing w:val="-17"/>
        </w:rPr>
        <w:t xml:space="preserve"> </w:t>
      </w:r>
      <w:r>
        <w:t>sheltered</w:t>
      </w:r>
      <w:r>
        <w:rPr>
          <w:spacing w:val="-16"/>
        </w:rPr>
        <w:t xml:space="preserve"> </w:t>
      </w:r>
      <w:r>
        <w:t>employment is widely used throughout the EU.</w:t>
      </w:r>
    </w:p>
    <w:p w14:paraId="755A9BF9" w14:textId="77777777" w:rsidR="00161C10" w:rsidRDefault="00CE2C8C">
      <w:pPr>
        <w:pStyle w:val="BodyText"/>
        <w:spacing w:before="121" w:line="276" w:lineRule="auto"/>
        <w:ind w:left="360" w:right="359"/>
        <w:jc w:val="both"/>
      </w:pPr>
      <w:r>
        <w:t>According</w:t>
      </w:r>
      <w:r>
        <w:rPr>
          <w:spacing w:val="-14"/>
        </w:rPr>
        <w:t xml:space="preserve"> </w:t>
      </w:r>
      <w:r>
        <w:t>to</w:t>
      </w:r>
      <w:r>
        <w:rPr>
          <w:spacing w:val="-14"/>
        </w:rPr>
        <w:t xml:space="preserve"> </w:t>
      </w:r>
      <w:r>
        <w:t>the</w:t>
      </w:r>
      <w:r>
        <w:rPr>
          <w:spacing w:val="-12"/>
        </w:rPr>
        <w:t xml:space="preserve"> </w:t>
      </w:r>
      <w:r>
        <w:t>General</w:t>
      </w:r>
      <w:r>
        <w:rPr>
          <w:spacing w:val="-13"/>
        </w:rPr>
        <w:t xml:space="preserve"> </w:t>
      </w:r>
      <w:r>
        <w:t>Comment</w:t>
      </w:r>
      <w:r>
        <w:rPr>
          <w:spacing w:val="-14"/>
        </w:rPr>
        <w:t xml:space="preserve"> </w:t>
      </w:r>
      <w:r>
        <w:t>8</w:t>
      </w:r>
      <w:r>
        <w:rPr>
          <w:spacing w:val="-14"/>
        </w:rPr>
        <w:t xml:space="preserve"> </w:t>
      </w:r>
      <w:r>
        <w:t>on</w:t>
      </w:r>
      <w:r>
        <w:rPr>
          <w:spacing w:val="-14"/>
        </w:rPr>
        <w:t xml:space="preserve"> </w:t>
      </w:r>
      <w:r>
        <w:t>the</w:t>
      </w:r>
      <w:r>
        <w:rPr>
          <w:spacing w:val="-14"/>
        </w:rPr>
        <w:t xml:space="preserve"> </w:t>
      </w:r>
      <w:r>
        <w:t>rights</w:t>
      </w:r>
      <w:r>
        <w:rPr>
          <w:spacing w:val="-14"/>
        </w:rPr>
        <w:t xml:space="preserve"> </w:t>
      </w:r>
      <w:r>
        <w:t>of</w:t>
      </w:r>
      <w:r>
        <w:rPr>
          <w:spacing w:val="-14"/>
        </w:rPr>
        <w:t xml:space="preserve"> </w:t>
      </w:r>
      <w:r>
        <w:t>persons</w:t>
      </w:r>
      <w:r>
        <w:rPr>
          <w:spacing w:val="-13"/>
        </w:rPr>
        <w:t xml:space="preserve"> </w:t>
      </w:r>
      <w:r>
        <w:t>with</w:t>
      </w:r>
      <w:r>
        <w:rPr>
          <w:spacing w:val="-14"/>
        </w:rPr>
        <w:t xml:space="preserve"> </w:t>
      </w:r>
      <w:r>
        <w:t>disabilities</w:t>
      </w:r>
      <w:r>
        <w:rPr>
          <w:spacing w:val="-12"/>
        </w:rPr>
        <w:t xml:space="preserve"> </w:t>
      </w:r>
      <w:r>
        <w:t>to</w:t>
      </w:r>
      <w:r>
        <w:rPr>
          <w:spacing w:val="-14"/>
        </w:rPr>
        <w:t xml:space="preserve"> </w:t>
      </w:r>
      <w:r>
        <w:t>work</w:t>
      </w:r>
      <w:r>
        <w:rPr>
          <w:spacing w:val="-14"/>
        </w:rPr>
        <w:t xml:space="preserve"> </w:t>
      </w:r>
      <w:r>
        <w:t>and employment,</w:t>
      </w:r>
      <w:r>
        <w:rPr>
          <w:spacing w:val="-11"/>
        </w:rPr>
        <w:t xml:space="preserve"> </w:t>
      </w:r>
      <w:r>
        <w:t>sheltered</w:t>
      </w:r>
      <w:r>
        <w:rPr>
          <w:spacing w:val="-11"/>
        </w:rPr>
        <w:t xml:space="preserve"> </w:t>
      </w:r>
      <w:r>
        <w:t>employment</w:t>
      </w:r>
      <w:r>
        <w:rPr>
          <w:spacing w:val="-11"/>
        </w:rPr>
        <w:t xml:space="preserve"> </w:t>
      </w:r>
      <w:r>
        <w:t>cannot</w:t>
      </w:r>
      <w:r>
        <w:rPr>
          <w:spacing w:val="-11"/>
        </w:rPr>
        <w:t xml:space="preserve"> </w:t>
      </w:r>
      <w:r>
        <w:t>be</w:t>
      </w:r>
      <w:r>
        <w:rPr>
          <w:spacing w:val="-9"/>
        </w:rPr>
        <w:t xml:space="preserve"> </w:t>
      </w:r>
      <w:r>
        <w:t>considered</w:t>
      </w:r>
      <w:r>
        <w:rPr>
          <w:spacing w:val="-11"/>
        </w:rPr>
        <w:t xml:space="preserve"> </w:t>
      </w:r>
      <w:r>
        <w:t>a</w:t>
      </w:r>
      <w:r>
        <w:rPr>
          <w:spacing w:val="-11"/>
        </w:rPr>
        <w:t xml:space="preserve"> </w:t>
      </w:r>
      <w:r>
        <w:t>measure</w:t>
      </w:r>
      <w:r>
        <w:rPr>
          <w:spacing w:val="-9"/>
        </w:rPr>
        <w:t xml:space="preserve"> </w:t>
      </w:r>
      <w:r>
        <w:t>for</w:t>
      </w:r>
      <w:r>
        <w:rPr>
          <w:spacing w:val="-10"/>
        </w:rPr>
        <w:t xml:space="preserve"> </w:t>
      </w:r>
      <w:r>
        <w:t>the</w:t>
      </w:r>
      <w:r>
        <w:rPr>
          <w:spacing w:val="-11"/>
        </w:rPr>
        <w:t xml:space="preserve"> </w:t>
      </w:r>
      <w:r>
        <w:t xml:space="preserve">progressive </w:t>
      </w:r>
      <w:proofErr w:type="spellStart"/>
      <w:r>
        <w:t>realisation</w:t>
      </w:r>
      <w:proofErr w:type="spellEnd"/>
      <w:r>
        <w:t xml:space="preserve"> of the right to work. Yet, there is a body of EU law that supports the maintenance and growth of the sheltered employment sector.</w:t>
      </w:r>
    </w:p>
    <w:p w14:paraId="301E8895" w14:textId="77777777" w:rsidR="00161C10" w:rsidRDefault="00CE2C8C">
      <w:pPr>
        <w:pStyle w:val="ListParagraph"/>
        <w:numPr>
          <w:ilvl w:val="0"/>
          <w:numId w:val="5"/>
        </w:numPr>
        <w:tabs>
          <w:tab w:val="left" w:pos="1080"/>
        </w:tabs>
        <w:spacing w:before="120" w:line="271" w:lineRule="auto"/>
        <w:ind w:right="359"/>
        <w:rPr>
          <w:rFonts w:ascii="Arial MT" w:hAnsi="Arial MT"/>
          <w:sz w:val="24"/>
        </w:rPr>
      </w:pPr>
      <w:r>
        <w:rPr>
          <w:rFonts w:ascii="Arial MT" w:hAnsi="Arial MT"/>
          <w:sz w:val="24"/>
        </w:rPr>
        <w:t>Articles</w:t>
      </w:r>
      <w:r>
        <w:rPr>
          <w:rFonts w:ascii="Arial MT" w:hAnsi="Arial MT"/>
          <w:spacing w:val="-12"/>
          <w:sz w:val="24"/>
        </w:rPr>
        <w:t xml:space="preserve"> </w:t>
      </w:r>
      <w:r>
        <w:rPr>
          <w:rFonts w:ascii="Arial MT" w:hAnsi="Arial MT"/>
          <w:sz w:val="24"/>
        </w:rPr>
        <w:t>107</w:t>
      </w:r>
      <w:r>
        <w:rPr>
          <w:rFonts w:ascii="Arial MT" w:hAnsi="Arial MT"/>
          <w:spacing w:val="-10"/>
          <w:sz w:val="24"/>
        </w:rPr>
        <w:t xml:space="preserve"> </w:t>
      </w:r>
      <w:r>
        <w:rPr>
          <w:rFonts w:ascii="Arial MT" w:hAnsi="Arial MT"/>
          <w:sz w:val="24"/>
        </w:rPr>
        <w:t>-</w:t>
      </w:r>
      <w:r>
        <w:rPr>
          <w:rFonts w:ascii="Arial MT" w:hAnsi="Arial MT"/>
          <w:spacing w:val="-13"/>
          <w:sz w:val="24"/>
        </w:rPr>
        <w:t xml:space="preserve"> </w:t>
      </w:r>
      <w:r>
        <w:rPr>
          <w:rFonts w:ascii="Arial MT" w:hAnsi="Arial MT"/>
          <w:sz w:val="24"/>
        </w:rPr>
        <w:t>109</w:t>
      </w:r>
      <w:r>
        <w:rPr>
          <w:rFonts w:ascii="Arial MT" w:hAnsi="Arial MT"/>
          <w:spacing w:val="-12"/>
          <w:sz w:val="24"/>
        </w:rPr>
        <w:t xml:space="preserve"> </w:t>
      </w:r>
      <w:r>
        <w:rPr>
          <w:rFonts w:ascii="Arial MT" w:hAnsi="Arial MT"/>
          <w:sz w:val="24"/>
        </w:rPr>
        <w:t>TFEU</w:t>
      </w:r>
      <w:r>
        <w:rPr>
          <w:rFonts w:ascii="Arial MT" w:hAnsi="Arial MT"/>
          <w:spacing w:val="-13"/>
          <w:sz w:val="24"/>
        </w:rPr>
        <w:t xml:space="preserve"> </w:t>
      </w:r>
      <w:r>
        <w:rPr>
          <w:rFonts w:ascii="Arial MT" w:hAnsi="Arial MT"/>
          <w:sz w:val="24"/>
        </w:rPr>
        <w:t>grant</w:t>
      </w:r>
      <w:r>
        <w:rPr>
          <w:rFonts w:ascii="Arial MT" w:hAnsi="Arial MT"/>
          <w:spacing w:val="-14"/>
          <w:sz w:val="24"/>
        </w:rPr>
        <w:t xml:space="preserve"> </w:t>
      </w:r>
      <w:r>
        <w:rPr>
          <w:rFonts w:ascii="Arial MT" w:hAnsi="Arial MT"/>
          <w:sz w:val="24"/>
        </w:rPr>
        <w:t>the</w:t>
      </w:r>
      <w:r>
        <w:rPr>
          <w:rFonts w:ascii="Arial MT" w:hAnsi="Arial MT"/>
          <w:spacing w:val="-14"/>
          <w:sz w:val="24"/>
        </w:rPr>
        <w:t xml:space="preserve"> </w:t>
      </w:r>
      <w:r>
        <w:rPr>
          <w:rFonts w:ascii="Arial MT" w:hAnsi="Arial MT"/>
          <w:sz w:val="24"/>
        </w:rPr>
        <w:t>Union</w:t>
      </w:r>
      <w:r>
        <w:rPr>
          <w:rFonts w:ascii="Arial MT" w:hAnsi="Arial MT"/>
          <w:spacing w:val="-14"/>
          <w:sz w:val="24"/>
        </w:rPr>
        <w:t xml:space="preserve"> </w:t>
      </w:r>
      <w:r>
        <w:rPr>
          <w:rFonts w:ascii="Arial MT" w:hAnsi="Arial MT"/>
          <w:sz w:val="24"/>
        </w:rPr>
        <w:t>the</w:t>
      </w:r>
      <w:r>
        <w:rPr>
          <w:rFonts w:ascii="Arial MT" w:hAnsi="Arial MT"/>
          <w:spacing w:val="-12"/>
          <w:sz w:val="24"/>
        </w:rPr>
        <w:t xml:space="preserve"> </w:t>
      </w:r>
      <w:r>
        <w:rPr>
          <w:rFonts w:ascii="Arial MT" w:hAnsi="Arial MT"/>
          <w:sz w:val="24"/>
        </w:rPr>
        <w:t>competence</w:t>
      </w:r>
      <w:r>
        <w:rPr>
          <w:rFonts w:ascii="Arial MT" w:hAnsi="Arial MT"/>
          <w:spacing w:val="-14"/>
          <w:sz w:val="24"/>
        </w:rPr>
        <w:t xml:space="preserve"> </w:t>
      </w:r>
      <w:r>
        <w:rPr>
          <w:rFonts w:ascii="Arial MT" w:hAnsi="Arial MT"/>
          <w:sz w:val="24"/>
        </w:rPr>
        <w:t>to</w:t>
      </w:r>
      <w:r>
        <w:rPr>
          <w:rFonts w:ascii="Arial MT" w:hAnsi="Arial MT"/>
          <w:spacing w:val="-11"/>
          <w:sz w:val="24"/>
        </w:rPr>
        <w:t xml:space="preserve"> </w:t>
      </w:r>
      <w:r>
        <w:rPr>
          <w:rFonts w:ascii="Arial MT" w:hAnsi="Arial MT"/>
          <w:sz w:val="24"/>
        </w:rPr>
        <w:t>review,</w:t>
      </w:r>
      <w:r>
        <w:rPr>
          <w:rFonts w:ascii="Arial MT" w:hAnsi="Arial MT"/>
          <w:spacing w:val="-13"/>
          <w:sz w:val="24"/>
        </w:rPr>
        <w:t xml:space="preserve"> </w:t>
      </w:r>
      <w:r>
        <w:rPr>
          <w:rFonts w:ascii="Arial MT" w:hAnsi="Arial MT"/>
          <w:sz w:val="24"/>
        </w:rPr>
        <w:t>abolish</w:t>
      </w:r>
      <w:r>
        <w:rPr>
          <w:rFonts w:ascii="Arial MT" w:hAnsi="Arial MT"/>
          <w:spacing w:val="-12"/>
          <w:sz w:val="24"/>
        </w:rPr>
        <w:t xml:space="preserve"> </w:t>
      </w:r>
      <w:r>
        <w:rPr>
          <w:rFonts w:ascii="Arial MT" w:hAnsi="Arial MT"/>
          <w:sz w:val="24"/>
        </w:rPr>
        <w:t>or</w:t>
      </w:r>
      <w:r>
        <w:rPr>
          <w:rFonts w:ascii="Arial MT" w:hAnsi="Arial MT"/>
          <w:spacing w:val="-16"/>
          <w:sz w:val="24"/>
        </w:rPr>
        <w:t xml:space="preserve"> </w:t>
      </w:r>
      <w:r>
        <w:rPr>
          <w:rFonts w:ascii="Arial MT" w:hAnsi="Arial MT"/>
          <w:sz w:val="24"/>
        </w:rPr>
        <w:t>alter financial aid provided by national authorities to undertakings, if it meets certain criteria.</w:t>
      </w:r>
      <w:r>
        <w:rPr>
          <w:rFonts w:ascii="Arial MT" w:hAnsi="Arial MT"/>
          <w:spacing w:val="-10"/>
          <w:sz w:val="24"/>
        </w:rPr>
        <w:t xml:space="preserve"> </w:t>
      </w:r>
      <w:r>
        <w:rPr>
          <w:rFonts w:ascii="Arial MT" w:hAnsi="Arial MT"/>
          <w:sz w:val="24"/>
        </w:rPr>
        <w:t>EU</w:t>
      </w:r>
      <w:r>
        <w:rPr>
          <w:rFonts w:ascii="Arial MT" w:hAnsi="Arial MT"/>
          <w:spacing w:val="-11"/>
          <w:sz w:val="24"/>
        </w:rPr>
        <w:t xml:space="preserve"> </w:t>
      </w:r>
      <w:r>
        <w:rPr>
          <w:rFonts w:ascii="Arial MT" w:hAnsi="Arial MT"/>
          <w:sz w:val="24"/>
        </w:rPr>
        <w:t>state</w:t>
      </w:r>
      <w:r>
        <w:rPr>
          <w:rFonts w:ascii="Arial MT" w:hAnsi="Arial MT"/>
          <w:spacing w:val="-11"/>
          <w:sz w:val="24"/>
        </w:rPr>
        <w:t xml:space="preserve"> </w:t>
      </w:r>
      <w:r>
        <w:rPr>
          <w:rFonts w:ascii="Arial MT" w:hAnsi="Arial MT"/>
          <w:sz w:val="24"/>
        </w:rPr>
        <w:t>aid</w:t>
      </w:r>
      <w:r>
        <w:rPr>
          <w:rFonts w:ascii="Arial MT" w:hAnsi="Arial MT"/>
          <w:spacing w:val="-10"/>
          <w:sz w:val="24"/>
        </w:rPr>
        <w:t xml:space="preserve"> </w:t>
      </w:r>
      <w:r>
        <w:rPr>
          <w:rFonts w:ascii="Arial MT" w:hAnsi="Arial MT"/>
          <w:sz w:val="24"/>
        </w:rPr>
        <w:t>legislation</w:t>
      </w:r>
      <w:r>
        <w:rPr>
          <w:rFonts w:ascii="Arial MT" w:hAnsi="Arial MT"/>
          <w:spacing w:val="-9"/>
          <w:sz w:val="24"/>
        </w:rPr>
        <w:t xml:space="preserve"> </w:t>
      </w:r>
      <w:r>
        <w:rPr>
          <w:rFonts w:ascii="Arial MT" w:hAnsi="Arial MT"/>
          <w:sz w:val="24"/>
        </w:rPr>
        <w:t>regards</w:t>
      </w:r>
      <w:r>
        <w:rPr>
          <w:rFonts w:ascii="Arial MT" w:hAnsi="Arial MT"/>
          <w:spacing w:val="-12"/>
          <w:sz w:val="24"/>
        </w:rPr>
        <w:t xml:space="preserve"> </w:t>
      </w:r>
      <w:r>
        <w:rPr>
          <w:rFonts w:ascii="Arial MT" w:hAnsi="Arial MT"/>
          <w:sz w:val="24"/>
        </w:rPr>
        <w:t>any</w:t>
      </w:r>
      <w:r>
        <w:rPr>
          <w:rFonts w:ascii="Arial MT" w:hAnsi="Arial MT"/>
          <w:spacing w:val="-13"/>
          <w:sz w:val="24"/>
        </w:rPr>
        <w:t xml:space="preserve"> </w:t>
      </w:r>
      <w:r>
        <w:rPr>
          <w:rFonts w:ascii="Arial MT" w:hAnsi="Arial MT"/>
          <w:sz w:val="24"/>
        </w:rPr>
        <w:t>entity</w:t>
      </w:r>
      <w:r>
        <w:rPr>
          <w:rFonts w:ascii="Arial MT" w:hAnsi="Arial MT"/>
          <w:spacing w:val="-10"/>
          <w:sz w:val="24"/>
        </w:rPr>
        <w:t xml:space="preserve"> </w:t>
      </w:r>
      <w:r>
        <w:rPr>
          <w:rFonts w:ascii="Arial MT" w:hAnsi="Arial MT"/>
          <w:sz w:val="24"/>
        </w:rPr>
        <w:t>that</w:t>
      </w:r>
      <w:r>
        <w:rPr>
          <w:rFonts w:ascii="Arial MT" w:hAnsi="Arial MT"/>
          <w:spacing w:val="-10"/>
          <w:sz w:val="24"/>
        </w:rPr>
        <w:t xml:space="preserve"> </w:t>
      </w:r>
      <w:r>
        <w:rPr>
          <w:rFonts w:ascii="Arial MT" w:hAnsi="Arial MT"/>
          <w:sz w:val="24"/>
        </w:rPr>
        <w:t>sells</w:t>
      </w:r>
      <w:r>
        <w:rPr>
          <w:rFonts w:ascii="Arial MT" w:hAnsi="Arial MT"/>
          <w:spacing w:val="-10"/>
          <w:sz w:val="24"/>
        </w:rPr>
        <w:t xml:space="preserve"> </w:t>
      </w:r>
      <w:r>
        <w:rPr>
          <w:rFonts w:ascii="Arial MT" w:hAnsi="Arial MT"/>
          <w:sz w:val="24"/>
        </w:rPr>
        <w:t>goods</w:t>
      </w:r>
      <w:r>
        <w:rPr>
          <w:rFonts w:ascii="Arial MT" w:hAnsi="Arial MT"/>
          <w:spacing w:val="-13"/>
          <w:sz w:val="24"/>
        </w:rPr>
        <w:t xml:space="preserve"> </w:t>
      </w:r>
      <w:r>
        <w:rPr>
          <w:rFonts w:ascii="Arial MT" w:hAnsi="Arial MT"/>
          <w:sz w:val="24"/>
        </w:rPr>
        <w:t>and</w:t>
      </w:r>
      <w:r>
        <w:rPr>
          <w:rFonts w:ascii="Arial MT" w:hAnsi="Arial MT"/>
          <w:spacing w:val="-9"/>
          <w:sz w:val="24"/>
        </w:rPr>
        <w:t xml:space="preserve"> </w:t>
      </w:r>
      <w:r>
        <w:rPr>
          <w:rFonts w:ascii="Arial MT" w:hAnsi="Arial MT"/>
          <w:sz w:val="24"/>
        </w:rPr>
        <w:t>services</w:t>
      </w:r>
      <w:r>
        <w:rPr>
          <w:rFonts w:ascii="Arial MT" w:hAnsi="Arial MT"/>
          <w:spacing w:val="-13"/>
          <w:sz w:val="24"/>
        </w:rPr>
        <w:t xml:space="preserve"> </w:t>
      </w:r>
      <w:r>
        <w:rPr>
          <w:rFonts w:ascii="Arial MT" w:hAnsi="Arial MT"/>
          <w:sz w:val="24"/>
        </w:rPr>
        <w:t>as an undertaking, with their legal status being irrelevant.</w:t>
      </w:r>
    </w:p>
    <w:p w14:paraId="1E6A8FFA" w14:textId="77777777" w:rsidR="00161C10" w:rsidRDefault="00CE2C8C">
      <w:pPr>
        <w:pStyle w:val="ListParagraph"/>
        <w:numPr>
          <w:ilvl w:val="0"/>
          <w:numId w:val="5"/>
        </w:numPr>
        <w:tabs>
          <w:tab w:val="left" w:pos="1080"/>
        </w:tabs>
        <w:spacing w:before="128" w:line="273" w:lineRule="auto"/>
        <w:ind w:right="352"/>
        <w:rPr>
          <w:rFonts w:ascii="Arial MT" w:hAnsi="Arial MT"/>
          <w:sz w:val="24"/>
        </w:rPr>
      </w:pPr>
      <w:r>
        <w:rPr>
          <w:rFonts w:ascii="Arial MT" w:hAnsi="Arial MT"/>
          <w:sz w:val="24"/>
        </w:rPr>
        <w:t xml:space="preserve">The </w:t>
      </w:r>
      <w:hyperlink r:id="rId102">
        <w:r>
          <w:rPr>
            <w:rFonts w:ascii="Arial MT" w:hAnsi="Arial MT"/>
            <w:color w:val="1154CC"/>
            <w:sz w:val="24"/>
            <w:u w:val="single" w:color="1154CC"/>
          </w:rPr>
          <w:t>decision of the European Commission</w:t>
        </w:r>
      </w:hyperlink>
      <w:r>
        <w:rPr>
          <w:rFonts w:ascii="Arial MT" w:hAnsi="Arial MT"/>
          <w:color w:val="1154CC"/>
          <w:sz w:val="24"/>
        </w:rPr>
        <w:t xml:space="preserve"> </w:t>
      </w:r>
      <w:r>
        <w:rPr>
          <w:rFonts w:ascii="Arial MT" w:hAnsi="Arial MT"/>
          <w:sz w:val="24"/>
        </w:rPr>
        <w:t>of 20 December 2011 “</w:t>
      </w:r>
      <w:r>
        <w:rPr>
          <w:rFonts w:ascii="Arial" w:hAnsi="Arial"/>
          <w:i/>
          <w:sz w:val="24"/>
        </w:rPr>
        <w:t>on the application</w:t>
      </w:r>
      <w:r>
        <w:rPr>
          <w:rFonts w:ascii="Arial" w:hAnsi="Arial"/>
          <w:i/>
          <w:spacing w:val="-17"/>
          <w:sz w:val="24"/>
        </w:rPr>
        <w:t xml:space="preserve"> </w:t>
      </w:r>
      <w:r>
        <w:rPr>
          <w:rFonts w:ascii="Arial" w:hAnsi="Arial"/>
          <w:i/>
          <w:sz w:val="24"/>
        </w:rPr>
        <w:t>of</w:t>
      </w:r>
      <w:r>
        <w:rPr>
          <w:rFonts w:ascii="Arial" w:hAnsi="Arial"/>
          <w:i/>
          <w:spacing w:val="-17"/>
          <w:sz w:val="24"/>
        </w:rPr>
        <w:t xml:space="preserve"> </w:t>
      </w:r>
      <w:r>
        <w:rPr>
          <w:rFonts w:ascii="Arial" w:hAnsi="Arial"/>
          <w:i/>
          <w:sz w:val="24"/>
        </w:rPr>
        <w:t>Article</w:t>
      </w:r>
      <w:r>
        <w:rPr>
          <w:rFonts w:ascii="Arial" w:hAnsi="Arial"/>
          <w:i/>
          <w:spacing w:val="-16"/>
          <w:sz w:val="24"/>
        </w:rPr>
        <w:t xml:space="preserve"> </w:t>
      </w:r>
      <w:r>
        <w:rPr>
          <w:rFonts w:ascii="Arial" w:hAnsi="Arial"/>
          <w:i/>
          <w:sz w:val="24"/>
        </w:rPr>
        <w:t>106(2)</w:t>
      </w:r>
      <w:r>
        <w:rPr>
          <w:rFonts w:ascii="Arial" w:hAnsi="Arial"/>
          <w:i/>
          <w:spacing w:val="-17"/>
          <w:sz w:val="24"/>
        </w:rPr>
        <w:t xml:space="preserve"> </w:t>
      </w:r>
      <w:r>
        <w:rPr>
          <w:rFonts w:ascii="Arial" w:hAnsi="Arial"/>
          <w:i/>
          <w:sz w:val="24"/>
        </w:rPr>
        <w:t>of</w:t>
      </w:r>
      <w:r>
        <w:rPr>
          <w:rFonts w:ascii="Arial" w:hAnsi="Arial"/>
          <w:i/>
          <w:spacing w:val="-17"/>
          <w:sz w:val="24"/>
        </w:rPr>
        <w:t xml:space="preserve"> </w:t>
      </w:r>
      <w:r>
        <w:rPr>
          <w:rFonts w:ascii="Arial" w:hAnsi="Arial"/>
          <w:i/>
          <w:sz w:val="24"/>
        </w:rPr>
        <w:t>the</w:t>
      </w:r>
      <w:r>
        <w:rPr>
          <w:rFonts w:ascii="Arial" w:hAnsi="Arial"/>
          <w:i/>
          <w:spacing w:val="-17"/>
          <w:sz w:val="24"/>
        </w:rPr>
        <w:t xml:space="preserve"> </w:t>
      </w:r>
      <w:r>
        <w:rPr>
          <w:rFonts w:ascii="Arial" w:hAnsi="Arial"/>
          <w:i/>
          <w:sz w:val="24"/>
        </w:rPr>
        <w:t>Treaty</w:t>
      </w:r>
      <w:r>
        <w:rPr>
          <w:rFonts w:ascii="Arial" w:hAnsi="Arial"/>
          <w:i/>
          <w:spacing w:val="-16"/>
          <w:sz w:val="24"/>
        </w:rPr>
        <w:t xml:space="preserve"> </w:t>
      </w:r>
      <w:r>
        <w:rPr>
          <w:rFonts w:ascii="Arial" w:hAnsi="Arial"/>
          <w:i/>
          <w:sz w:val="24"/>
        </w:rPr>
        <w:t>on</w:t>
      </w:r>
      <w:r>
        <w:rPr>
          <w:rFonts w:ascii="Arial" w:hAnsi="Arial"/>
          <w:i/>
          <w:spacing w:val="-17"/>
          <w:sz w:val="24"/>
        </w:rPr>
        <w:t xml:space="preserve"> </w:t>
      </w:r>
      <w:r>
        <w:rPr>
          <w:rFonts w:ascii="Arial" w:hAnsi="Arial"/>
          <w:i/>
          <w:sz w:val="24"/>
        </w:rPr>
        <w:t>the</w:t>
      </w:r>
      <w:r>
        <w:rPr>
          <w:rFonts w:ascii="Arial" w:hAnsi="Arial"/>
          <w:i/>
          <w:spacing w:val="-17"/>
          <w:sz w:val="24"/>
        </w:rPr>
        <w:t xml:space="preserve"> </w:t>
      </w:r>
      <w:r>
        <w:rPr>
          <w:rFonts w:ascii="Arial" w:hAnsi="Arial"/>
          <w:i/>
          <w:sz w:val="24"/>
        </w:rPr>
        <w:t>Functioning</w:t>
      </w:r>
      <w:r>
        <w:rPr>
          <w:rFonts w:ascii="Arial" w:hAnsi="Arial"/>
          <w:i/>
          <w:spacing w:val="-16"/>
          <w:sz w:val="24"/>
        </w:rPr>
        <w:t xml:space="preserve"> </w:t>
      </w:r>
      <w:r>
        <w:rPr>
          <w:rFonts w:ascii="Arial" w:hAnsi="Arial"/>
          <w:i/>
          <w:sz w:val="24"/>
        </w:rPr>
        <w:t>of</w:t>
      </w:r>
      <w:r>
        <w:rPr>
          <w:rFonts w:ascii="Arial" w:hAnsi="Arial"/>
          <w:i/>
          <w:spacing w:val="-17"/>
          <w:sz w:val="24"/>
        </w:rPr>
        <w:t xml:space="preserve"> </w:t>
      </w:r>
      <w:r>
        <w:rPr>
          <w:rFonts w:ascii="Arial" w:hAnsi="Arial"/>
          <w:i/>
          <w:sz w:val="24"/>
        </w:rPr>
        <w:t>the</w:t>
      </w:r>
      <w:r>
        <w:rPr>
          <w:rFonts w:ascii="Arial" w:hAnsi="Arial"/>
          <w:i/>
          <w:spacing w:val="-17"/>
          <w:sz w:val="24"/>
        </w:rPr>
        <w:t xml:space="preserve"> </w:t>
      </w:r>
      <w:r>
        <w:rPr>
          <w:rFonts w:ascii="Arial" w:hAnsi="Arial"/>
          <w:i/>
          <w:sz w:val="24"/>
        </w:rPr>
        <w:t>European</w:t>
      </w:r>
      <w:r>
        <w:rPr>
          <w:rFonts w:ascii="Arial" w:hAnsi="Arial"/>
          <w:i/>
          <w:spacing w:val="-16"/>
          <w:sz w:val="24"/>
        </w:rPr>
        <w:t xml:space="preserve"> </w:t>
      </w:r>
      <w:r>
        <w:rPr>
          <w:rFonts w:ascii="Arial" w:hAnsi="Arial"/>
          <w:i/>
          <w:sz w:val="24"/>
        </w:rPr>
        <w:t>Union to State aid in the form of public service compensation granted to certain undertakings</w:t>
      </w:r>
      <w:r>
        <w:rPr>
          <w:rFonts w:ascii="Arial" w:hAnsi="Arial"/>
          <w:i/>
          <w:spacing w:val="-17"/>
          <w:sz w:val="24"/>
        </w:rPr>
        <w:t xml:space="preserve"> </w:t>
      </w:r>
      <w:r>
        <w:rPr>
          <w:rFonts w:ascii="Arial" w:hAnsi="Arial"/>
          <w:i/>
          <w:sz w:val="24"/>
        </w:rPr>
        <w:t>entrusted</w:t>
      </w:r>
      <w:r>
        <w:rPr>
          <w:rFonts w:ascii="Arial" w:hAnsi="Arial"/>
          <w:i/>
          <w:spacing w:val="-17"/>
          <w:sz w:val="24"/>
        </w:rPr>
        <w:t xml:space="preserve"> </w:t>
      </w:r>
      <w:r>
        <w:rPr>
          <w:rFonts w:ascii="Arial" w:hAnsi="Arial"/>
          <w:i/>
          <w:sz w:val="24"/>
        </w:rPr>
        <w:t>with</w:t>
      </w:r>
      <w:r>
        <w:rPr>
          <w:rFonts w:ascii="Arial" w:hAnsi="Arial"/>
          <w:i/>
          <w:spacing w:val="-16"/>
          <w:sz w:val="24"/>
        </w:rPr>
        <w:t xml:space="preserve"> </w:t>
      </w:r>
      <w:r>
        <w:rPr>
          <w:rFonts w:ascii="Arial" w:hAnsi="Arial"/>
          <w:i/>
          <w:sz w:val="24"/>
        </w:rPr>
        <w:t>the</w:t>
      </w:r>
      <w:r>
        <w:rPr>
          <w:rFonts w:ascii="Arial" w:hAnsi="Arial"/>
          <w:i/>
          <w:spacing w:val="-17"/>
          <w:sz w:val="24"/>
        </w:rPr>
        <w:t xml:space="preserve"> </w:t>
      </w:r>
      <w:r>
        <w:rPr>
          <w:rFonts w:ascii="Arial" w:hAnsi="Arial"/>
          <w:i/>
          <w:sz w:val="24"/>
        </w:rPr>
        <w:t>operation</w:t>
      </w:r>
      <w:r>
        <w:rPr>
          <w:rFonts w:ascii="Arial" w:hAnsi="Arial"/>
          <w:i/>
          <w:spacing w:val="-17"/>
          <w:sz w:val="24"/>
        </w:rPr>
        <w:t xml:space="preserve"> </w:t>
      </w:r>
      <w:r>
        <w:rPr>
          <w:rFonts w:ascii="Arial" w:hAnsi="Arial"/>
          <w:i/>
          <w:sz w:val="24"/>
        </w:rPr>
        <w:t>of</w:t>
      </w:r>
      <w:r>
        <w:rPr>
          <w:rFonts w:ascii="Arial" w:hAnsi="Arial"/>
          <w:i/>
          <w:spacing w:val="-17"/>
          <w:sz w:val="24"/>
        </w:rPr>
        <w:t xml:space="preserve"> </w:t>
      </w:r>
      <w:r>
        <w:rPr>
          <w:rFonts w:ascii="Arial" w:hAnsi="Arial"/>
          <w:i/>
          <w:sz w:val="24"/>
        </w:rPr>
        <w:t>services</w:t>
      </w:r>
      <w:r>
        <w:rPr>
          <w:rFonts w:ascii="Arial" w:hAnsi="Arial"/>
          <w:i/>
          <w:spacing w:val="-16"/>
          <w:sz w:val="24"/>
        </w:rPr>
        <w:t xml:space="preserve"> </w:t>
      </w:r>
      <w:r>
        <w:rPr>
          <w:rFonts w:ascii="Arial" w:hAnsi="Arial"/>
          <w:i/>
          <w:sz w:val="24"/>
        </w:rPr>
        <w:t>of</w:t>
      </w:r>
      <w:r>
        <w:rPr>
          <w:rFonts w:ascii="Arial" w:hAnsi="Arial"/>
          <w:i/>
          <w:spacing w:val="-17"/>
          <w:sz w:val="24"/>
        </w:rPr>
        <w:t xml:space="preserve"> </w:t>
      </w:r>
      <w:r>
        <w:rPr>
          <w:rFonts w:ascii="Arial" w:hAnsi="Arial"/>
          <w:i/>
          <w:sz w:val="24"/>
        </w:rPr>
        <w:t>general</w:t>
      </w:r>
      <w:r>
        <w:rPr>
          <w:rFonts w:ascii="Arial" w:hAnsi="Arial"/>
          <w:i/>
          <w:spacing w:val="-17"/>
          <w:sz w:val="24"/>
        </w:rPr>
        <w:t xml:space="preserve"> </w:t>
      </w:r>
      <w:r>
        <w:rPr>
          <w:rFonts w:ascii="Arial" w:hAnsi="Arial"/>
          <w:i/>
          <w:sz w:val="24"/>
        </w:rPr>
        <w:t>economic</w:t>
      </w:r>
      <w:r>
        <w:rPr>
          <w:rFonts w:ascii="Arial" w:hAnsi="Arial"/>
          <w:i/>
          <w:spacing w:val="-16"/>
          <w:sz w:val="24"/>
        </w:rPr>
        <w:t xml:space="preserve"> </w:t>
      </w:r>
      <w:r>
        <w:rPr>
          <w:rFonts w:ascii="Arial" w:hAnsi="Arial"/>
          <w:i/>
          <w:sz w:val="24"/>
        </w:rPr>
        <w:t>interest</w:t>
      </w:r>
      <w:r>
        <w:rPr>
          <w:rFonts w:ascii="Arial MT" w:hAnsi="Arial MT"/>
          <w:sz w:val="24"/>
        </w:rPr>
        <w:t>” outlines under which conditions financial aid in the form of public service compensations granted to services of general economic interest is permissible</w:t>
      </w:r>
      <w:hyperlink w:anchor="_bookmark13" w:history="1">
        <w:r>
          <w:rPr>
            <w:rFonts w:ascii="Arial MT" w:hAnsi="Arial MT"/>
            <w:position w:val="8"/>
            <w:sz w:val="16"/>
          </w:rPr>
          <w:t>14</w:t>
        </w:r>
      </w:hyperlink>
      <w:r>
        <w:rPr>
          <w:rFonts w:ascii="Arial MT" w:hAnsi="Arial MT"/>
          <w:sz w:val="24"/>
        </w:rPr>
        <w:t>.</w:t>
      </w:r>
    </w:p>
    <w:p w14:paraId="7922271C" w14:textId="77777777" w:rsidR="00161C10" w:rsidRDefault="00CE2C8C">
      <w:pPr>
        <w:pStyle w:val="BodyText"/>
        <w:spacing w:before="57"/>
        <w:rPr>
          <w:sz w:val="20"/>
        </w:rPr>
      </w:pPr>
      <w:r>
        <w:rPr>
          <w:noProof/>
          <w:sz w:val="20"/>
        </w:rPr>
        <mc:AlternateContent>
          <mc:Choice Requires="wps">
            <w:drawing>
              <wp:anchor distT="0" distB="0" distL="0" distR="0" simplePos="0" relativeHeight="487602688" behindDoc="1" locked="0" layoutInCell="1" allowOverlap="1" wp14:anchorId="19326005" wp14:editId="3C9A6BF2">
                <wp:simplePos x="0" y="0"/>
                <wp:positionH relativeFrom="page">
                  <wp:posOffset>914704</wp:posOffset>
                </wp:positionH>
                <wp:positionV relativeFrom="paragraph">
                  <wp:posOffset>197681</wp:posOffset>
                </wp:positionV>
                <wp:extent cx="1829435" cy="762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4621D2" id="Graphic 40" o:spid="_x0000_s1026" style="position:absolute;margin-left:1in;margin-top:15.55pt;width:144.05pt;height:.6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" path="m1829054,l,,,7619r1829054,l1829054,xe" fillcolor="black" stroked="f">
                <v:path arrowok="t"/>
                <w10:wrap type="topAndBottom" anchorx="page"/>
              </v:shape>
            </w:pict>
          </mc:Fallback>
        </mc:AlternateContent>
      </w:r>
    </w:p>
    <w:p w14:paraId="2E434D57" w14:textId="77777777" w:rsidR="00161C10" w:rsidRDefault="00CE2C8C">
      <w:pPr>
        <w:spacing w:before="93"/>
        <w:ind w:left="360" w:right="377"/>
        <w:rPr>
          <w:sz w:val="20"/>
        </w:rPr>
      </w:pPr>
      <w:bookmarkStart w:id="13" w:name="_bookmark13"/>
      <w:bookmarkEnd w:id="13"/>
      <w:r>
        <w:rPr>
          <w:position w:val="6"/>
          <w:sz w:val="13"/>
        </w:rPr>
        <w:t>14</w:t>
      </w:r>
      <w:r>
        <w:rPr>
          <w:spacing w:val="15"/>
          <w:position w:val="6"/>
          <w:sz w:val="13"/>
        </w:rPr>
        <w:t xml:space="preserve"> </w:t>
      </w:r>
      <w:r>
        <w:rPr>
          <w:sz w:val="20"/>
        </w:rPr>
        <w:t>Social</w:t>
      </w:r>
      <w:r>
        <w:rPr>
          <w:spacing w:val="-5"/>
          <w:sz w:val="20"/>
        </w:rPr>
        <w:t xml:space="preserve"> </w:t>
      </w:r>
      <w:r>
        <w:rPr>
          <w:sz w:val="20"/>
        </w:rPr>
        <w:t>services</w:t>
      </w:r>
      <w:r>
        <w:rPr>
          <w:spacing w:val="-3"/>
          <w:sz w:val="20"/>
        </w:rPr>
        <w:t xml:space="preserve"> </w:t>
      </w:r>
      <w:r>
        <w:rPr>
          <w:sz w:val="20"/>
        </w:rPr>
        <w:t>can</w:t>
      </w:r>
      <w:r>
        <w:rPr>
          <w:spacing w:val="-2"/>
          <w:sz w:val="20"/>
        </w:rPr>
        <w:t xml:space="preserve"> </w:t>
      </w:r>
      <w:r>
        <w:rPr>
          <w:sz w:val="20"/>
        </w:rPr>
        <w:t>be</w:t>
      </w:r>
      <w:r>
        <w:rPr>
          <w:spacing w:val="-5"/>
          <w:sz w:val="20"/>
        </w:rPr>
        <w:t xml:space="preserve"> </w:t>
      </w:r>
      <w:r>
        <w:rPr>
          <w:sz w:val="20"/>
        </w:rPr>
        <w:t>regarded</w:t>
      </w:r>
      <w:r>
        <w:rPr>
          <w:spacing w:val="-2"/>
          <w:sz w:val="20"/>
        </w:rPr>
        <w:t xml:space="preserve"> </w:t>
      </w:r>
      <w:r>
        <w:rPr>
          <w:sz w:val="20"/>
        </w:rPr>
        <w:t>as</w:t>
      </w:r>
      <w:r>
        <w:rPr>
          <w:spacing w:val="-3"/>
          <w:sz w:val="20"/>
        </w:rPr>
        <w:t xml:space="preserve"> </w:t>
      </w:r>
      <w:r>
        <w:rPr>
          <w:sz w:val="20"/>
        </w:rPr>
        <w:t>services</w:t>
      </w:r>
      <w:r>
        <w:rPr>
          <w:spacing w:val="-3"/>
          <w:sz w:val="20"/>
        </w:rPr>
        <w:t xml:space="preserve"> </w:t>
      </w:r>
      <w:r>
        <w:rPr>
          <w:sz w:val="20"/>
        </w:rPr>
        <w:t>of</w:t>
      </w:r>
      <w:r>
        <w:rPr>
          <w:spacing w:val="-4"/>
          <w:sz w:val="20"/>
        </w:rPr>
        <w:t xml:space="preserve"> </w:t>
      </w:r>
      <w:r>
        <w:rPr>
          <w:sz w:val="20"/>
        </w:rPr>
        <w:t>general</w:t>
      </w:r>
      <w:r>
        <w:rPr>
          <w:spacing w:val="-5"/>
          <w:sz w:val="20"/>
        </w:rPr>
        <w:t xml:space="preserve"> </w:t>
      </w:r>
      <w:r>
        <w:rPr>
          <w:sz w:val="20"/>
        </w:rPr>
        <w:t>economic</w:t>
      </w:r>
      <w:r>
        <w:rPr>
          <w:spacing w:val="-3"/>
          <w:sz w:val="20"/>
        </w:rPr>
        <w:t xml:space="preserve"> </w:t>
      </w:r>
      <w:r>
        <w:rPr>
          <w:sz w:val="20"/>
        </w:rPr>
        <w:t>interest</w:t>
      </w:r>
      <w:r>
        <w:rPr>
          <w:spacing w:val="-2"/>
          <w:sz w:val="20"/>
        </w:rPr>
        <w:t xml:space="preserve"> </w:t>
      </w:r>
      <w:r>
        <w:rPr>
          <w:sz w:val="20"/>
        </w:rPr>
        <w:t>if</w:t>
      </w:r>
      <w:r>
        <w:rPr>
          <w:spacing w:val="-4"/>
          <w:sz w:val="20"/>
        </w:rPr>
        <w:t xml:space="preserve"> </w:t>
      </w:r>
      <w:r>
        <w:rPr>
          <w:sz w:val="20"/>
        </w:rPr>
        <w:t>they</w:t>
      </w:r>
      <w:r>
        <w:rPr>
          <w:spacing w:val="-1"/>
          <w:sz w:val="20"/>
        </w:rPr>
        <w:t xml:space="preserve"> </w:t>
      </w:r>
      <w:r>
        <w:rPr>
          <w:sz w:val="20"/>
        </w:rPr>
        <w:t>offer</w:t>
      </w:r>
      <w:r>
        <w:rPr>
          <w:spacing w:val="-4"/>
          <w:sz w:val="20"/>
        </w:rPr>
        <w:t xml:space="preserve"> </w:t>
      </w:r>
      <w:r>
        <w:rPr>
          <w:sz w:val="20"/>
        </w:rPr>
        <w:t>“clearly</w:t>
      </w:r>
      <w:r>
        <w:rPr>
          <w:spacing w:val="-3"/>
          <w:sz w:val="20"/>
        </w:rPr>
        <w:t xml:space="preserve"> </w:t>
      </w:r>
      <w:r>
        <w:rPr>
          <w:sz w:val="20"/>
        </w:rPr>
        <w:t xml:space="preserve">identified services, meeting social needs as regards health and long-term care, childcare, access to and reintegration into the </w:t>
      </w:r>
      <w:proofErr w:type="spellStart"/>
      <w:r>
        <w:rPr>
          <w:sz w:val="20"/>
        </w:rPr>
        <w:t>labour</w:t>
      </w:r>
      <w:proofErr w:type="spellEnd"/>
      <w:r>
        <w:rPr>
          <w:sz w:val="20"/>
        </w:rPr>
        <w:t xml:space="preserve"> market, social housing and the care and inclusion of vulnerable groups”.</w:t>
      </w:r>
    </w:p>
    <w:p w14:paraId="66FAD94C" w14:textId="77777777" w:rsidR="00161C10" w:rsidRDefault="00161C10">
      <w:pPr>
        <w:rPr>
          <w:sz w:val="20"/>
        </w:rPr>
        <w:sectPr w:rsidR="00161C10">
          <w:pgSz w:w="12240" w:h="15840"/>
          <w:pgMar w:top="1360" w:right="1080" w:bottom="1460" w:left="1080" w:header="0" w:footer="1274" w:gutter="0"/>
          <w:cols w:space="720"/>
        </w:sectPr>
      </w:pPr>
    </w:p>
    <w:p w14:paraId="406F1885" w14:textId="77777777" w:rsidR="00161C10" w:rsidRDefault="00CE2C8C">
      <w:pPr>
        <w:pStyle w:val="BodyText"/>
        <w:spacing w:before="81" w:line="276" w:lineRule="auto"/>
        <w:ind w:left="1080" w:right="363"/>
        <w:jc w:val="both"/>
      </w:pPr>
      <w:r>
        <w:lastRenderedPageBreak/>
        <w:t>There is no reservation for the awarding of state aid to providers of institutions or sheltered employment.</w:t>
      </w:r>
    </w:p>
    <w:p w14:paraId="010C6CFA" w14:textId="77777777" w:rsidR="00161C10" w:rsidRDefault="00CE2C8C">
      <w:pPr>
        <w:pStyle w:val="ListParagraph"/>
        <w:numPr>
          <w:ilvl w:val="0"/>
          <w:numId w:val="5"/>
        </w:numPr>
        <w:tabs>
          <w:tab w:val="left" w:pos="1080"/>
        </w:tabs>
        <w:spacing w:before="118" w:line="271" w:lineRule="auto"/>
        <w:ind w:right="354"/>
        <w:rPr>
          <w:rFonts w:ascii="Arial MT" w:hAnsi="Arial MT"/>
          <w:sz w:val="24"/>
        </w:rPr>
      </w:pPr>
      <w:hyperlink r:id="rId103">
        <w:r>
          <w:rPr>
            <w:rFonts w:ascii="Arial MT" w:hAnsi="Arial MT"/>
            <w:color w:val="1154CC"/>
            <w:sz w:val="24"/>
            <w:u w:val="single" w:color="1154CC"/>
          </w:rPr>
          <w:t>Directive 2014/23/EU[2] on the award of concession contracts</w:t>
        </w:r>
      </w:hyperlink>
      <w:r>
        <w:rPr>
          <w:rFonts w:ascii="Arial MT" w:hAnsi="Arial MT"/>
          <w:color w:val="1154CC"/>
          <w:sz w:val="24"/>
        </w:rPr>
        <w:t xml:space="preserve"> </w:t>
      </w:r>
      <w:r>
        <w:rPr>
          <w:rFonts w:ascii="Arial MT" w:hAnsi="Arial MT"/>
          <w:sz w:val="24"/>
        </w:rPr>
        <w:t>and D</w:t>
      </w:r>
      <w:hyperlink r:id="rId104">
        <w:r>
          <w:rPr>
            <w:rFonts w:ascii="Arial MT" w:hAnsi="Arial MT"/>
            <w:color w:val="1154CC"/>
            <w:sz w:val="24"/>
            <w:u w:val="single" w:color="1154CC"/>
          </w:rPr>
          <w:t>irective</w:t>
        </w:r>
      </w:hyperlink>
      <w:r>
        <w:rPr>
          <w:rFonts w:ascii="Arial MT" w:hAnsi="Arial MT"/>
          <w:color w:val="1154CC"/>
          <w:sz w:val="24"/>
        </w:rPr>
        <w:t xml:space="preserve"> </w:t>
      </w:r>
      <w:hyperlink r:id="rId105">
        <w:r>
          <w:rPr>
            <w:rFonts w:ascii="Arial MT" w:hAnsi="Arial MT"/>
            <w:color w:val="1154CC"/>
            <w:sz w:val="24"/>
            <w:u w:val="single" w:color="1154CC"/>
          </w:rPr>
          <w:t>2014/24/EU[3] on public procurement</w:t>
        </w:r>
      </w:hyperlink>
      <w:r>
        <w:rPr>
          <w:rFonts w:ascii="Arial MT" w:hAnsi="Arial MT"/>
          <w:color w:val="1154CC"/>
          <w:sz w:val="24"/>
          <w:u w:val="single" w:color="1154CC"/>
        </w:rPr>
        <w:t xml:space="preserve"> </w:t>
      </w:r>
      <w:r>
        <w:rPr>
          <w:rFonts w:ascii="Arial MT" w:hAnsi="Arial MT"/>
          <w:sz w:val="24"/>
        </w:rPr>
        <w:t>regulate public procurement in various areas, including social services. There is no reservation for the awarding of procurement contracts to providers of institutions or sheltered employment.</w:t>
      </w:r>
    </w:p>
    <w:p w14:paraId="54BD714F" w14:textId="77777777" w:rsidR="00161C10" w:rsidRDefault="00CE2C8C">
      <w:pPr>
        <w:pStyle w:val="ListParagraph"/>
        <w:numPr>
          <w:ilvl w:val="0"/>
          <w:numId w:val="5"/>
        </w:numPr>
        <w:tabs>
          <w:tab w:val="left" w:pos="1080"/>
        </w:tabs>
        <w:spacing w:before="129" w:line="273" w:lineRule="auto"/>
        <w:ind w:right="352"/>
        <w:rPr>
          <w:rFonts w:ascii="Arial MT" w:hAnsi="Arial MT"/>
          <w:sz w:val="24"/>
        </w:rPr>
      </w:pPr>
      <w:r>
        <w:rPr>
          <w:rFonts w:ascii="Arial MT" w:hAnsi="Arial MT"/>
          <w:sz w:val="24"/>
        </w:rPr>
        <w:t>R</w:t>
      </w:r>
      <w:hyperlink r:id="rId106">
        <w:r>
          <w:rPr>
            <w:rFonts w:ascii="Arial MT" w:hAnsi="Arial MT"/>
            <w:color w:val="1154CC"/>
            <w:sz w:val="24"/>
            <w:u w:val="single" w:color="1154CC"/>
          </w:rPr>
          <w:t>egulation</w:t>
        </w:r>
        <w:r>
          <w:rPr>
            <w:rFonts w:ascii="Arial MT" w:hAnsi="Arial MT"/>
            <w:color w:val="1154CC"/>
            <w:spacing w:val="-14"/>
            <w:sz w:val="24"/>
            <w:u w:val="single" w:color="1154CC"/>
          </w:rPr>
          <w:t xml:space="preserve"> </w:t>
        </w:r>
        <w:r>
          <w:rPr>
            <w:rFonts w:ascii="Arial MT" w:hAnsi="Arial MT"/>
            <w:color w:val="1154CC"/>
            <w:sz w:val="24"/>
            <w:u w:val="single" w:color="1154CC"/>
          </w:rPr>
          <w:t>of</w:t>
        </w:r>
        <w:r>
          <w:rPr>
            <w:rFonts w:ascii="Arial MT" w:hAnsi="Arial MT"/>
            <w:color w:val="1154CC"/>
            <w:spacing w:val="-14"/>
            <w:sz w:val="24"/>
            <w:u w:val="single" w:color="1154CC"/>
          </w:rPr>
          <w:t xml:space="preserve"> </w:t>
        </w:r>
        <w:r>
          <w:rPr>
            <w:rFonts w:ascii="Arial MT" w:hAnsi="Arial MT"/>
            <w:color w:val="1154CC"/>
            <w:sz w:val="24"/>
            <w:u w:val="single" w:color="1154CC"/>
          </w:rPr>
          <w:t>the</w:t>
        </w:r>
        <w:r>
          <w:rPr>
            <w:rFonts w:ascii="Arial MT" w:hAnsi="Arial MT"/>
            <w:color w:val="1154CC"/>
            <w:spacing w:val="-12"/>
            <w:sz w:val="24"/>
            <w:u w:val="single" w:color="1154CC"/>
          </w:rPr>
          <w:t xml:space="preserve"> </w:t>
        </w:r>
        <w:r>
          <w:rPr>
            <w:rFonts w:ascii="Arial MT" w:hAnsi="Arial MT"/>
            <w:color w:val="1154CC"/>
            <w:sz w:val="24"/>
            <w:u w:val="single" w:color="1154CC"/>
          </w:rPr>
          <w:t>European</w:t>
        </w:r>
        <w:r>
          <w:rPr>
            <w:rFonts w:ascii="Arial MT" w:hAnsi="Arial MT"/>
            <w:color w:val="1154CC"/>
            <w:spacing w:val="-12"/>
            <w:sz w:val="24"/>
            <w:u w:val="single" w:color="1154CC"/>
          </w:rPr>
          <w:t xml:space="preserve"> </w:t>
        </w:r>
        <w:r>
          <w:rPr>
            <w:rFonts w:ascii="Arial MT" w:hAnsi="Arial MT"/>
            <w:color w:val="1154CC"/>
            <w:sz w:val="24"/>
            <w:u w:val="single" w:color="1154CC"/>
          </w:rPr>
          <w:t>Commission</w:t>
        </w:r>
        <w:r>
          <w:rPr>
            <w:rFonts w:ascii="Arial MT" w:hAnsi="Arial MT"/>
            <w:color w:val="1154CC"/>
            <w:spacing w:val="-14"/>
            <w:sz w:val="24"/>
            <w:u w:val="single" w:color="1154CC"/>
          </w:rPr>
          <w:t xml:space="preserve"> </w:t>
        </w:r>
        <w:r>
          <w:rPr>
            <w:rFonts w:ascii="Arial MT" w:hAnsi="Arial MT"/>
            <w:color w:val="1154CC"/>
            <w:sz w:val="24"/>
            <w:u w:val="single" w:color="1154CC"/>
          </w:rPr>
          <w:t>No</w:t>
        </w:r>
        <w:r>
          <w:rPr>
            <w:rFonts w:ascii="Arial MT" w:hAnsi="Arial MT"/>
            <w:color w:val="1154CC"/>
            <w:spacing w:val="-15"/>
            <w:sz w:val="24"/>
            <w:u w:val="single" w:color="1154CC"/>
          </w:rPr>
          <w:t xml:space="preserve"> </w:t>
        </w:r>
        <w:r>
          <w:rPr>
            <w:rFonts w:ascii="Arial MT" w:hAnsi="Arial MT"/>
            <w:color w:val="1154CC"/>
            <w:sz w:val="24"/>
            <w:u w:val="single" w:color="1154CC"/>
          </w:rPr>
          <w:t>651</w:t>
        </w:r>
        <w:r>
          <w:rPr>
            <w:rFonts w:ascii="Arial MT" w:hAnsi="Arial MT"/>
            <w:color w:val="1154CC"/>
            <w:spacing w:val="-14"/>
            <w:sz w:val="24"/>
            <w:u w:val="single" w:color="1154CC"/>
          </w:rPr>
          <w:t xml:space="preserve"> </w:t>
        </w:r>
        <w:r>
          <w:rPr>
            <w:rFonts w:ascii="Arial MT" w:hAnsi="Arial MT"/>
            <w:color w:val="1154CC"/>
            <w:sz w:val="24"/>
            <w:u w:val="single" w:color="1154CC"/>
          </w:rPr>
          <w:t>of</w:t>
        </w:r>
        <w:r>
          <w:rPr>
            <w:rFonts w:ascii="Arial MT" w:hAnsi="Arial MT"/>
            <w:color w:val="1154CC"/>
            <w:spacing w:val="-14"/>
            <w:sz w:val="24"/>
            <w:u w:val="single" w:color="1154CC"/>
          </w:rPr>
          <w:t xml:space="preserve"> </w:t>
        </w:r>
        <w:r>
          <w:rPr>
            <w:rFonts w:ascii="Arial MT" w:hAnsi="Arial MT"/>
            <w:color w:val="1154CC"/>
            <w:sz w:val="24"/>
            <w:u w:val="single" w:color="1154CC"/>
          </w:rPr>
          <w:t>17</w:t>
        </w:r>
        <w:r>
          <w:rPr>
            <w:rFonts w:ascii="Arial MT" w:hAnsi="Arial MT"/>
            <w:color w:val="1154CC"/>
            <w:spacing w:val="-12"/>
            <w:sz w:val="24"/>
            <w:u w:val="single" w:color="1154CC"/>
          </w:rPr>
          <w:t xml:space="preserve"> </w:t>
        </w:r>
        <w:r>
          <w:rPr>
            <w:rFonts w:ascii="Arial MT" w:hAnsi="Arial MT"/>
            <w:color w:val="1154CC"/>
            <w:sz w:val="24"/>
            <w:u w:val="single" w:color="1154CC"/>
          </w:rPr>
          <w:t>June</w:t>
        </w:r>
        <w:r>
          <w:rPr>
            <w:rFonts w:ascii="Arial MT" w:hAnsi="Arial MT"/>
            <w:color w:val="1154CC"/>
            <w:spacing w:val="-14"/>
            <w:sz w:val="24"/>
            <w:u w:val="single" w:color="1154CC"/>
          </w:rPr>
          <w:t xml:space="preserve"> </w:t>
        </w:r>
        <w:r>
          <w:rPr>
            <w:rFonts w:ascii="Arial MT" w:hAnsi="Arial MT"/>
            <w:color w:val="1154CC"/>
            <w:sz w:val="24"/>
            <w:u w:val="single" w:color="1154CC"/>
          </w:rPr>
          <w:t>2014</w:t>
        </w:r>
        <w:r>
          <w:rPr>
            <w:rFonts w:ascii="Arial MT" w:hAnsi="Arial MT"/>
            <w:color w:val="1154CC"/>
            <w:spacing w:val="-14"/>
            <w:sz w:val="24"/>
            <w:u w:val="single" w:color="1154CC"/>
          </w:rPr>
          <w:t xml:space="preserve"> </w:t>
        </w:r>
        <w:r>
          <w:rPr>
            <w:rFonts w:ascii="Arial MT" w:hAnsi="Arial MT"/>
            <w:color w:val="1154CC"/>
            <w:sz w:val="24"/>
            <w:u w:val="single" w:color="1154CC"/>
          </w:rPr>
          <w:t>declaring</w:t>
        </w:r>
        <w:r>
          <w:rPr>
            <w:rFonts w:ascii="Arial MT" w:hAnsi="Arial MT"/>
            <w:color w:val="1154CC"/>
            <w:spacing w:val="-12"/>
            <w:sz w:val="24"/>
            <w:u w:val="single" w:color="1154CC"/>
          </w:rPr>
          <w:t xml:space="preserve"> </w:t>
        </w:r>
        <w:r>
          <w:rPr>
            <w:rFonts w:ascii="Arial MT" w:hAnsi="Arial MT"/>
            <w:color w:val="1154CC"/>
            <w:sz w:val="24"/>
            <w:u w:val="single" w:color="1154CC"/>
          </w:rPr>
          <w:t>certain</w:t>
        </w:r>
      </w:hyperlink>
      <w:r>
        <w:rPr>
          <w:rFonts w:ascii="Arial MT" w:hAnsi="Arial MT"/>
          <w:color w:val="1154CC"/>
          <w:sz w:val="24"/>
        </w:rPr>
        <w:t xml:space="preserve"> </w:t>
      </w:r>
      <w:hyperlink r:id="rId107">
        <w:r>
          <w:rPr>
            <w:rFonts w:ascii="Arial MT" w:hAnsi="Arial MT"/>
            <w:color w:val="1154CC"/>
            <w:sz w:val="24"/>
            <w:u w:val="single" w:color="1154CC"/>
          </w:rPr>
          <w:t>categories of aid compatible with the internal</w:t>
        </w:r>
        <w:r>
          <w:rPr>
            <w:rFonts w:ascii="Arial MT" w:hAnsi="Arial MT"/>
            <w:color w:val="1154CC"/>
            <w:spacing w:val="-1"/>
            <w:sz w:val="24"/>
            <w:u w:val="single" w:color="1154CC"/>
          </w:rPr>
          <w:t xml:space="preserve"> </w:t>
        </w:r>
        <w:r>
          <w:rPr>
            <w:rFonts w:ascii="Arial MT" w:hAnsi="Arial MT"/>
            <w:color w:val="1154CC"/>
            <w:sz w:val="24"/>
            <w:u w:val="single" w:color="1154CC"/>
          </w:rPr>
          <w:t>market in application of Articles 107</w:t>
        </w:r>
      </w:hyperlink>
      <w:r>
        <w:rPr>
          <w:rFonts w:ascii="Arial MT" w:hAnsi="Arial MT"/>
          <w:color w:val="1154CC"/>
          <w:sz w:val="24"/>
        </w:rPr>
        <w:t xml:space="preserve"> </w:t>
      </w:r>
      <w:hyperlink r:id="rId108">
        <w:r>
          <w:rPr>
            <w:rFonts w:ascii="Arial MT" w:hAnsi="Arial MT"/>
            <w:color w:val="1154CC"/>
            <w:sz w:val="24"/>
            <w:u w:val="single" w:color="1154CC"/>
          </w:rPr>
          <w:t>and 108 of the Treaty</w:t>
        </w:r>
      </w:hyperlink>
      <w:r>
        <w:rPr>
          <w:rFonts w:ascii="Arial MT" w:hAnsi="Arial MT"/>
          <w:color w:val="1154CC"/>
          <w:sz w:val="24"/>
        </w:rPr>
        <w:t xml:space="preserve"> </w:t>
      </w:r>
      <w:r>
        <w:rPr>
          <w:rFonts w:ascii="Arial MT" w:hAnsi="Arial MT"/>
          <w:sz w:val="24"/>
        </w:rPr>
        <w:t>- also called the General Block Exemption Regulation - grants national authorities permission to financially support undertakings which employ disabled people.</w:t>
      </w:r>
      <w:r>
        <w:rPr>
          <w:rFonts w:ascii="Arial MT" w:hAnsi="Arial MT"/>
          <w:spacing w:val="40"/>
          <w:sz w:val="24"/>
        </w:rPr>
        <w:t xml:space="preserve"> </w:t>
      </w:r>
      <w:r>
        <w:rPr>
          <w:rFonts w:ascii="Arial MT" w:hAnsi="Arial MT"/>
          <w:sz w:val="24"/>
        </w:rPr>
        <w:t>Article 34, paragraph 2, section f, states: “</w:t>
      </w:r>
      <w:r>
        <w:rPr>
          <w:rFonts w:ascii="Arial" w:hAnsi="Arial"/>
          <w:i/>
          <w:sz w:val="24"/>
        </w:rPr>
        <w:t xml:space="preserve">The eligible costs shall be the following: …where the beneficiary provides sheltered employment, the costs of constructing, installing or </w:t>
      </w:r>
      <w:proofErr w:type="spellStart"/>
      <w:r>
        <w:rPr>
          <w:rFonts w:ascii="Arial" w:hAnsi="Arial"/>
          <w:i/>
          <w:sz w:val="24"/>
        </w:rPr>
        <w:t>modernising</w:t>
      </w:r>
      <w:proofErr w:type="spellEnd"/>
      <w:r>
        <w:rPr>
          <w:rFonts w:ascii="Arial" w:hAnsi="Arial"/>
          <w:i/>
          <w:sz w:val="24"/>
        </w:rPr>
        <w:t xml:space="preserve"> the production units</w:t>
      </w:r>
      <w:r>
        <w:rPr>
          <w:rFonts w:ascii="Arial" w:hAnsi="Arial"/>
          <w:i/>
          <w:spacing w:val="-8"/>
          <w:sz w:val="24"/>
        </w:rPr>
        <w:t xml:space="preserve"> </w:t>
      </w:r>
      <w:r>
        <w:rPr>
          <w:rFonts w:ascii="Arial" w:hAnsi="Arial"/>
          <w:i/>
          <w:sz w:val="24"/>
        </w:rPr>
        <w:t>of</w:t>
      </w:r>
      <w:r>
        <w:rPr>
          <w:rFonts w:ascii="Arial" w:hAnsi="Arial"/>
          <w:i/>
          <w:spacing w:val="-5"/>
          <w:sz w:val="24"/>
        </w:rPr>
        <w:t xml:space="preserve"> </w:t>
      </w:r>
      <w:r>
        <w:rPr>
          <w:rFonts w:ascii="Arial" w:hAnsi="Arial"/>
          <w:i/>
          <w:sz w:val="24"/>
        </w:rPr>
        <w:t>the</w:t>
      </w:r>
      <w:r>
        <w:rPr>
          <w:rFonts w:ascii="Arial" w:hAnsi="Arial"/>
          <w:i/>
          <w:spacing w:val="-7"/>
          <w:sz w:val="24"/>
        </w:rPr>
        <w:t xml:space="preserve"> </w:t>
      </w:r>
      <w:r>
        <w:rPr>
          <w:rFonts w:ascii="Arial" w:hAnsi="Arial"/>
          <w:i/>
          <w:sz w:val="24"/>
        </w:rPr>
        <w:t>undertaking</w:t>
      </w:r>
      <w:r>
        <w:rPr>
          <w:rFonts w:ascii="Arial" w:hAnsi="Arial"/>
          <w:i/>
          <w:spacing w:val="-5"/>
          <w:sz w:val="24"/>
        </w:rPr>
        <w:t xml:space="preserve"> </w:t>
      </w:r>
      <w:r>
        <w:rPr>
          <w:rFonts w:ascii="Arial" w:hAnsi="Arial"/>
          <w:i/>
          <w:sz w:val="24"/>
        </w:rPr>
        <w:t>concerned,</w:t>
      </w:r>
      <w:r>
        <w:rPr>
          <w:rFonts w:ascii="Arial" w:hAnsi="Arial"/>
          <w:i/>
          <w:spacing w:val="-7"/>
          <w:sz w:val="24"/>
        </w:rPr>
        <w:t xml:space="preserve"> </w:t>
      </w:r>
      <w:r>
        <w:rPr>
          <w:rFonts w:ascii="Arial" w:hAnsi="Arial"/>
          <w:i/>
          <w:sz w:val="24"/>
        </w:rPr>
        <w:t>and</w:t>
      </w:r>
      <w:r>
        <w:rPr>
          <w:rFonts w:ascii="Arial" w:hAnsi="Arial"/>
          <w:i/>
          <w:spacing w:val="-5"/>
          <w:sz w:val="24"/>
        </w:rPr>
        <w:t xml:space="preserve"> </w:t>
      </w:r>
      <w:r>
        <w:rPr>
          <w:rFonts w:ascii="Arial" w:hAnsi="Arial"/>
          <w:i/>
          <w:sz w:val="24"/>
        </w:rPr>
        <w:t>any</w:t>
      </w:r>
      <w:r>
        <w:rPr>
          <w:rFonts w:ascii="Arial" w:hAnsi="Arial"/>
          <w:i/>
          <w:spacing w:val="-8"/>
          <w:sz w:val="24"/>
        </w:rPr>
        <w:t xml:space="preserve"> </w:t>
      </w:r>
      <w:r>
        <w:rPr>
          <w:rFonts w:ascii="Arial" w:hAnsi="Arial"/>
          <w:i/>
          <w:sz w:val="24"/>
        </w:rPr>
        <w:t>costs</w:t>
      </w:r>
      <w:r>
        <w:rPr>
          <w:rFonts w:ascii="Arial" w:hAnsi="Arial"/>
          <w:i/>
          <w:spacing w:val="-5"/>
          <w:sz w:val="24"/>
        </w:rPr>
        <w:t xml:space="preserve"> </w:t>
      </w:r>
      <w:r>
        <w:rPr>
          <w:rFonts w:ascii="Arial" w:hAnsi="Arial"/>
          <w:i/>
          <w:sz w:val="24"/>
        </w:rPr>
        <w:t>of</w:t>
      </w:r>
      <w:r>
        <w:rPr>
          <w:rFonts w:ascii="Arial" w:hAnsi="Arial"/>
          <w:i/>
          <w:spacing w:val="-5"/>
          <w:sz w:val="24"/>
        </w:rPr>
        <w:t xml:space="preserve"> </w:t>
      </w:r>
      <w:r>
        <w:rPr>
          <w:rFonts w:ascii="Arial" w:hAnsi="Arial"/>
          <w:i/>
          <w:sz w:val="24"/>
        </w:rPr>
        <w:t>administration</w:t>
      </w:r>
      <w:r>
        <w:rPr>
          <w:rFonts w:ascii="Arial" w:hAnsi="Arial"/>
          <w:i/>
          <w:spacing w:val="-9"/>
          <w:sz w:val="24"/>
        </w:rPr>
        <w:t xml:space="preserve"> </w:t>
      </w:r>
      <w:r>
        <w:rPr>
          <w:rFonts w:ascii="Arial" w:hAnsi="Arial"/>
          <w:i/>
          <w:sz w:val="24"/>
        </w:rPr>
        <w:t>and</w:t>
      </w:r>
      <w:r>
        <w:rPr>
          <w:rFonts w:ascii="Arial" w:hAnsi="Arial"/>
          <w:i/>
          <w:spacing w:val="-7"/>
          <w:sz w:val="24"/>
        </w:rPr>
        <w:t xml:space="preserve"> </w:t>
      </w:r>
      <w:r>
        <w:rPr>
          <w:rFonts w:ascii="Arial" w:hAnsi="Arial"/>
          <w:i/>
          <w:sz w:val="24"/>
        </w:rPr>
        <w:t xml:space="preserve">transport, provided that such costs result directly from the employment of workers with </w:t>
      </w:r>
      <w:r>
        <w:rPr>
          <w:rFonts w:ascii="Arial" w:hAnsi="Arial"/>
          <w:i/>
          <w:spacing w:val="-2"/>
          <w:sz w:val="24"/>
        </w:rPr>
        <w:t>disabilities”</w:t>
      </w:r>
      <w:r>
        <w:rPr>
          <w:rFonts w:ascii="Arial MT" w:hAnsi="Arial MT"/>
          <w:spacing w:val="-2"/>
          <w:sz w:val="24"/>
        </w:rPr>
        <w:t>.</w:t>
      </w:r>
    </w:p>
    <w:p w14:paraId="02B0D047" w14:textId="77777777" w:rsidR="00161C10" w:rsidRDefault="00CE2C8C">
      <w:pPr>
        <w:pStyle w:val="BodyText"/>
        <w:spacing w:before="132" w:line="276" w:lineRule="auto"/>
        <w:ind w:left="360" w:right="356"/>
        <w:jc w:val="both"/>
      </w:pPr>
      <w:hyperlink r:id="rId109">
        <w:r>
          <w:rPr>
            <w:color w:val="1154CC"/>
            <w:u w:val="single" w:color="1154CC"/>
          </w:rPr>
          <w:t>ENIL’s</w:t>
        </w:r>
        <w:r>
          <w:rPr>
            <w:color w:val="1154CC"/>
            <w:spacing w:val="-15"/>
            <w:u w:val="single" w:color="1154CC"/>
          </w:rPr>
          <w:t xml:space="preserve"> </w:t>
        </w:r>
        <w:r>
          <w:rPr>
            <w:color w:val="1154CC"/>
            <w:u w:val="single" w:color="1154CC"/>
          </w:rPr>
          <w:t>research</w:t>
        </w:r>
      </w:hyperlink>
      <w:r>
        <w:t>,</w:t>
      </w:r>
      <w:r>
        <w:rPr>
          <w:spacing w:val="-14"/>
        </w:rPr>
        <w:t xml:space="preserve"> </w:t>
      </w:r>
      <w:r>
        <w:t>carried</w:t>
      </w:r>
      <w:r>
        <w:rPr>
          <w:spacing w:val="-14"/>
        </w:rPr>
        <w:t xml:space="preserve"> </w:t>
      </w:r>
      <w:r>
        <w:t>out</w:t>
      </w:r>
      <w:r>
        <w:rPr>
          <w:spacing w:val="-17"/>
        </w:rPr>
        <w:t xml:space="preserve"> </w:t>
      </w:r>
      <w:r>
        <w:t>in</w:t>
      </w:r>
      <w:r>
        <w:rPr>
          <w:spacing w:val="-14"/>
        </w:rPr>
        <w:t xml:space="preserve"> </w:t>
      </w:r>
      <w:r>
        <w:t>2023</w:t>
      </w:r>
      <w:r>
        <w:rPr>
          <w:spacing w:val="-14"/>
        </w:rPr>
        <w:t xml:space="preserve"> </w:t>
      </w:r>
      <w:r>
        <w:t>-</w:t>
      </w:r>
      <w:r>
        <w:rPr>
          <w:spacing w:val="-16"/>
        </w:rPr>
        <w:t xml:space="preserve"> </w:t>
      </w:r>
      <w:r>
        <w:t>2024,</w:t>
      </w:r>
      <w:r>
        <w:rPr>
          <w:spacing w:val="-17"/>
        </w:rPr>
        <w:t xml:space="preserve"> </w:t>
      </w:r>
      <w:r>
        <w:t>discovered</w:t>
      </w:r>
      <w:r>
        <w:rPr>
          <w:spacing w:val="-15"/>
        </w:rPr>
        <w:t xml:space="preserve"> </w:t>
      </w:r>
      <w:r>
        <w:t>12</w:t>
      </w:r>
      <w:r>
        <w:rPr>
          <w:spacing w:val="-14"/>
        </w:rPr>
        <w:t xml:space="preserve"> </w:t>
      </w:r>
      <w:r>
        <w:t>cases</w:t>
      </w:r>
      <w:r>
        <w:rPr>
          <w:spacing w:val="-15"/>
        </w:rPr>
        <w:t xml:space="preserve"> </w:t>
      </w:r>
      <w:r>
        <w:t>in</w:t>
      </w:r>
      <w:r>
        <w:rPr>
          <w:spacing w:val="-15"/>
        </w:rPr>
        <w:t xml:space="preserve"> </w:t>
      </w:r>
      <w:r>
        <w:t>which</w:t>
      </w:r>
      <w:r>
        <w:rPr>
          <w:spacing w:val="-15"/>
        </w:rPr>
        <w:t xml:space="preserve"> </w:t>
      </w:r>
      <w:r>
        <w:t>Member</w:t>
      </w:r>
      <w:r>
        <w:rPr>
          <w:spacing w:val="-16"/>
        </w:rPr>
        <w:t xml:space="preserve"> </w:t>
      </w:r>
      <w:r>
        <w:t xml:space="preserve">States </w:t>
      </w:r>
      <w:proofErr w:type="spellStart"/>
      <w:r>
        <w:t>subsidised</w:t>
      </w:r>
      <w:proofErr w:type="spellEnd"/>
      <w:r>
        <w:rPr>
          <w:spacing w:val="-5"/>
        </w:rPr>
        <w:t xml:space="preserve"> </w:t>
      </w:r>
      <w:r>
        <w:t>sheltered</w:t>
      </w:r>
      <w:r>
        <w:rPr>
          <w:spacing w:val="-5"/>
        </w:rPr>
        <w:t xml:space="preserve"> </w:t>
      </w:r>
      <w:r>
        <w:t>employment</w:t>
      </w:r>
      <w:r>
        <w:rPr>
          <w:spacing w:val="-3"/>
        </w:rPr>
        <w:t xml:space="preserve"> </w:t>
      </w:r>
      <w:r>
        <w:t>with</w:t>
      </w:r>
      <w:r>
        <w:rPr>
          <w:spacing w:val="-4"/>
        </w:rPr>
        <w:t xml:space="preserve"> </w:t>
      </w:r>
      <w:r>
        <w:t>EUR</w:t>
      </w:r>
      <w:r>
        <w:rPr>
          <w:spacing w:val="-4"/>
        </w:rPr>
        <w:t xml:space="preserve"> </w:t>
      </w:r>
      <w:r>
        <w:t>550,43</w:t>
      </w:r>
      <w:r>
        <w:rPr>
          <w:spacing w:val="-5"/>
        </w:rPr>
        <w:t xml:space="preserve"> </w:t>
      </w:r>
      <w:r>
        <w:t>million.</w:t>
      </w:r>
      <w:r>
        <w:rPr>
          <w:spacing w:val="-3"/>
        </w:rPr>
        <w:t xml:space="preserve"> </w:t>
      </w:r>
      <w:r>
        <w:t>For</w:t>
      </w:r>
      <w:r>
        <w:rPr>
          <w:spacing w:val="-3"/>
        </w:rPr>
        <w:t xml:space="preserve"> </w:t>
      </w:r>
      <w:r>
        <w:t>example,</w:t>
      </w:r>
      <w:r>
        <w:rPr>
          <w:spacing w:val="-5"/>
        </w:rPr>
        <w:t xml:space="preserve"> </w:t>
      </w:r>
      <w:r>
        <w:t>in</w:t>
      </w:r>
      <w:r>
        <w:rPr>
          <w:spacing w:val="-5"/>
        </w:rPr>
        <w:t xml:space="preserve"> </w:t>
      </w:r>
      <w:r>
        <w:t>Sweden,</w:t>
      </w:r>
      <w:r>
        <w:rPr>
          <w:spacing w:val="-5"/>
        </w:rPr>
        <w:t xml:space="preserve"> </w:t>
      </w:r>
      <w:r>
        <w:t>the government</w:t>
      </w:r>
      <w:r>
        <w:rPr>
          <w:spacing w:val="-8"/>
        </w:rPr>
        <w:t xml:space="preserve"> </w:t>
      </w:r>
      <w:r>
        <w:t>is</w:t>
      </w:r>
      <w:r>
        <w:rPr>
          <w:spacing w:val="-9"/>
        </w:rPr>
        <w:t xml:space="preserve"> </w:t>
      </w:r>
      <w:proofErr w:type="spellStart"/>
      <w:r>
        <w:t>subsidising</w:t>
      </w:r>
      <w:proofErr w:type="spellEnd"/>
      <w:r>
        <w:rPr>
          <w:spacing w:val="-8"/>
        </w:rPr>
        <w:t xml:space="preserve"> </w:t>
      </w:r>
      <w:r>
        <w:t>the</w:t>
      </w:r>
      <w:r>
        <w:rPr>
          <w:spacing w:val="-8"/>
        </w:rPr>
        <w:t xml:space="preserve"> </w:t>
      </w:r>
      <w:r>
        <w:t>provider</w:t>
      </w:r>
      <w:r>
        <w:rPr>
          <w:spacing w:val="-9"/>
        </w:rPr>
        <w:t xml:space="preserve"> </w:t>
      </w:r>
      <w:r>
        <w:t>of</w:t>
      </w:r>
      <w:r>
        <w:rPr>
          <w:spacing w:val="-8"/>
        </w:rPr>
        <w:t xml:space="preserve"> </w:t>
      </w:r>
      <w:r>
        <w:t>sheltered</w:t>
      </w:r>
      <w:r>
        <w:rPr>
          <w:spacing w:val="-10"/>
        </w:rPr>
        <w:t xml:space="preserve"> </w:t>
      </w:r>
      <w:r>
        <w:t>employment</w:t>
      </w:r>
      <w:r>
        <w:rPr>
          <w:spacing w:val="-11"/>
        </w:rPr>
        <w:t xml:space="preserve"> </w:t>
      </w:r>
      <w:proofErr w:type="spellStart"/>
      <w:r>
        <w:t>Samhall</w:t>
      </w:r>
      <w:proofErr w:type="spellEnd"/>
      <w:r>
        <w:rPr>
          <w:spacing w:val="-10"/>
        </w:rPr>
        <w:t xml:space="preserve"> </w:t>
      </w:r>
      <w:r>
        <w:t>Aktiebolag</w:t>
      </w:r>
      <w:r>
        <w:rPr>
          <w:spacing w:val="-8"/>
        </w:rPr>
        <w:t xml:space="preserve"> </w:t>
      </w:r>
      <w:r>
        <w:t xml:space="preserve">with EUR 500 million per year. </w:t>
      </w:r>
      <w:proofErr w:type="spellStart"/>
      <w:r>
        <w:t>Samhall</w:t>
      </w:r>
      <w:proofErr w:type="spellEnd"/>
      <w:r>
        <w:t xml:space="preserve"> is employing 19,135 disabled people.</w:t>
      </w:r>
      <w:r>
        <w:rPr>
          <w:spacing w:val="40"/>
        </w:rPr>
        <w:t xml:space="preserve"> </w:t>
      </w:r>
      <w:r>
        <w:t>In Germany, the</w:t>
      </w:r>
      <w:r>
        <w:rPr>
          <w:spacing w:val="-15"/>
        </w:rPr>
        <w:t xml:space="preserve"> </w:t>
      </w:r>
      <w:r>
        <w:t>government</w:t>
      </w:r>
      <w:r>
        <w:rPr>
          <w:spacing w:val="-15"/>
        </w:rPr>
        <w:t xml:space="preserve"> </w:t>
      </w:r>
      <w:r>
        <w:t>of</w:t>
      </w:r>
      <w:r>
        <w:rPr>
          <w:spacing w:val="-15"/>
        </w:rPr>
        <w:t xml:space="preserve"> </w:t>
      </w:r>
      <w:r>
        <w:t>Bavaria</w:t>
      </w:r>
      <w:r>
        <w:rPr>
          <w:spacing w:val="-13"/>
        </w:rPr>
        <w:t xml:space="preserve"> </w:t>
      </w:r>
      <w:r>
        <w:t>is</w:t>
      </w:r>
      <w:r>
        <w:rPr>
          <w:spacing w:val="-14"/>
        </w:rPr>
        <w:t xml:space="preserve"> </w:t>
      </w:r>
      <w:proofErr w:type="spellStart"/>
      <w:r>
        <w:t>subsidising</w:t>
      </w:r>
      <w:proofErr w:type="spellEnd"/>
      <w:r>
        <w:rPr>
          <w:spacing w:val="-13"/>
        </w:rPr>
        <w:t xml:space="preserve"> </w:t>
      </w:r>
      <w:r>
        <w:t>the</w:t>
      </w:r>
      <w:r>
        <w:rPr>
          <w:spacing w:val="-15"/>
        </w:rPr>
        <w:t xml:space="preserve"> </w:t>
      </w:r>
      <w:r>
        <w:t>construction</w:t>
      </w:r>
      <w:r>
        <w:rPr>
          <w:spacing w:val="-15"/>
        </w:rPr>
        <w:t xml:space="preserve"> </w:t>
      </w:r>
      <w:r>
        <w:t>of</w:t>
      </w:r>
      <w:r>
        <w:rPr>
          <w:spacing w:val="-15"/>
        </w:rPr>
        <w:t xml:space="preserve"> </w:t>
      </w:r>
      <w:r>
        <w:t>a</w:t>
      </w:r>
      <w:r>
        <w:rPr>
          <w:spacing w:val="-15"/>
        </w:rPr>
        <w:t xml:space="preserve"> </w:t>
      </w:r>
      <w:r>
        <w:t>sheltered</w:t>
      </w:r>
      <w:r>
        <w:rPr>
          <w:spacing w:val="-13"/>
        </w:rPr>
        <w:t xml:space="preserve"> </w:t>
      </w:r>
      <w:r>
        <w:t>workshop</w:t>
      </w:r>
      <w:r>
        <w:rPr>
          <w:spacing w:val="-15"/>
        </w:rPr>
        <w:t xml:space="preserve"> </w:t>
      </w:r>
      <w:r>
        <w:t>for</w:t>
      </w:r>
      <w:r>
        <w:rPr>
          <w:spacing w:val="-14"/>
        </w:rPr>
        <w:t xml:space="preserve"> </w:t>
      </w:r>
      <w:r>
        <w:t>240 disabled people with EUR 10,6 million.</w:t>
      </w:r>
    </w:p>
    <w:p w14:paraId="5432D3F0" w14:textId="77777777" w:rsidR="00161C10" w:rsidRDefault="00CE2C8C">
      <w:pPr>
        <w:spacing w:before="120"/>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3CF9751B" w14:textId="77777777" w:rsidR="00161C10" w:rsidRDefault="00CE2C8C">
      <w:pPr>
        <w:pStyle w:val="BodyText"/>
        <w:spacing w:before="2"/>
        <w:rPr>
          <w:rFonts w:ascii="Arial"/>
          <w:b/>
          <w:i/>
          <w:sz w:val="12"/>
        </w:rPr>
      </w:pPr>
      <w:r>
        <w:rPr>
          <w:rFonts w:ascii="Arial"/>
          <w:b/>
          <w:i/>
          <w:noProof/>
          <w:sz w:val="12"/>
        </w:rPr>
        <mc:AlternateContent>
          <mc:Choice Requires="wps">
            <w:drawing>
              <wp:anchor distT="0" distB="0" distL="0" distR="0" simplePos="0" relativeHeight="487603200" behindDoc="1" locked="0" layoutInCell="1" allowOverlap="1" wp14:anchorId="0B2BEB60" wp14:editId="2EF167CA">
                <wp:simplePos x="0" y="0"/>
                <wp:positionH relativeFrom="page">
                  <wp:posOffset>843076</wp:posOffset>
                </wp:positionH>
                <wp:positionV relativeFrom="paragraph">
                  <wp:posOffset>107907</wp:posOffset>
                </wp:positionV>
                <wp:extent cx="6088380" cy="164211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1642110"/>
                        </a:xfrm>
                        <a:prstGeom prst="rect">
                          <a:avLst/>
                        </a:prstGeom>
                        <a:ln w="6095">
                          <a:solidFill>
                            <a:srgbClr val="000000"/>
                          </a:solidFill>
                          <a:prstDash val="solid"/>
                        </a:ln>
                      </wps:spPr>
                      <wps:txbx>
                        <w:txbxContent>
                          <w:p w14:paraId="6EBBDB5C" w14:textId="77777777" w:rsidR="00161C10" w:rsidRDefault="00CE2C8C">
                            <w:pPr>
                              <w:spacing w:before="19" w:line="276" w:lineRule="auto"/>
                              <w:ind w:left="108" w:right="108"/>
                              <w:jc w:val="both"/>
                              <w:rPr>
                                <w:rFonts w:ascii="Arial"/>
                                <w:b/>
                                <w:sz w:val="24"/>
                              </w:rPr>
                            </w:pPr>
                            <w:r>
                              <w:rPr>
                                <w:rFonts w:ascii="Arial"/>
                                <w:b/>
                                <w:sz w:val="24"/>
                              </w:rPr>
                              <w:t>The Committee recommends that the EU reforms its rules on services of general economic interest and introduces reservations against state aid being granted to institutions and sheltered employment for disabled people. Specifically, the EU should amend Directives 2014/23/EU and 2014/24/EU, removing the possibility of awarding public procurement contracts to institutions and sheltered employment facilities.</w:t>
                            </w:r>
                            <w:r>
                              <w:rPr>
                                <w:rFonts w:ascii="Arial"/>
                                <w:b/>
                                <w:spacing w:val="-14"/>
                                <w:sz w:val="24"/>
                              </w:rPr>
                              <w:t xml:space="preserve"> </w:t>
                            </w:r>
                            <w:r>
                              <w:rPr>
                                <w:rFonts w:ascii="Arial"/>
                                <w:b/>
                                <w:sz w:val="24"/>
                              </w:rPr>
                              <w:t>The</w:t>
                            </w:r>
                            <w:r>
                              <w:rPr>
                                <w:rFonts w:ascii="Arial"/>
                                <w:b/>
                                <w:spacing w:val="-12"/>
                                <w:sz w:val="24"/>
                              </w:rPr>
                              <w:t xml:space="preserve"> </w:t>
                            </w:r>
                            <w:r>
                              <w:rPr>
                                <w:rFonts w:ascii="Arial"/>
                                <w:b/>
                                <w:sz w:val="24"/>
                              </w:rPr>
                              <w:t>EU</w:t>
                            </w:r>
                            <w:r>
                              <w:rPr>
                                <w:rFonts w:ascii="Arial"/>
                                <w:b/>
                                <w:spacing w:val="-15"/>
                                <w:sz w:val="24"/>
                              </w:rPr>
                              <w:t xml:space="preserve"> </w:t>
                            </w:r>
                            <w:r>
                              <w:rPr>
                                <w:rFonts w:ascii="Arial"/>
                                <w:b/>
                                <w:sz w:val="24"/>
                              </w:rPr>
                              <w:t>should</w:t>
                            </w:r>
                            <w:r>
                              <w:rPr>
                                <w:rFonts w:ascii="Arial"/>
                                <w:b/>
                                <w:spacing w:val="-13"/>
                                <w:sz w:val="24"/>
                              </w:rPr>
                              <w:t xml:space="preserve"> </w:t>
                            </w:r>
                            <w:r>
                              <w:rPr>
                                <w:rFonts w:ascii="Arial"/>
                                <w:b/>
                                <w:sz w:val="24"/>
                              </w:rPr>
                              <w:t>also</w:t>
                            </w:r>
                            <w:r>
                              <w:rPr>
                                <w:rFonts w:ascii="Arial"/>
                                <w:b/>
                                <w:spacing w:val="-15"/>
                                <w:sz w:val="24"/>
                              </w:rPr>
                              <w:t xml:space="preserve"> </w:t>
                            </w:r>
                            <w:r>
                              <w:rPr>
                                <w:rFonts w:ascii="Arial"/>
                                <w:b/>
                                <w:sz w:val="24"/>
                              </w:rPr>
                              <w:t>amend</w:t>
                            </w:r>
                            <w:r>
                              <w:rPr>
                                <w:rFonts w:ascii="Arial"/>
                                <w:b/>
                                <w:spacing w:val="-13"/>
                                <w:sz w:val="24"/>
                              </w:rPr>
                              <w:t xml:space="preserve"> </w:t>
                            </w:r>
                            <w:r>
                              <w:rPr>
                                <w:rFonts w:ascii="Arial"/>
                                <w:b/>
                                <w:sz w:val="24"/>
                              </w:rPr>
                              <w:t>the</w:t>
                            </w:r>
                            <w:r>
                              <w:rPr>
                                <w:rFonts w:ascii="Arial"/>
                                <w:b/>
                                <w:spacing w:val="-14"/>
                                <w:sz w:val="24"/>
                              </w:rPr>
                              <w:t xml:space="preserve"> </w:t>
                            </w:r>
                            <w:r>
                              <w:rPr>
                                <w:rFonts w:ascii="Arial"/>
                                <w:b/>
                                <w:sz w:val="24"/>
                              </w:rPr>
                              <w:t>General</w:t>
                            </w:r>
                            <w:r>
                              <w:rPr>
                                <w:rFonts w:ascii="Arial"/>
                                <w:b/>
                                <w:spacing w:val="-14"/>
                                <w:sz w:val="24"/>
                              </w:rPr>
                              <w:t xml:space="preserve"> </w:t>
                            </w:r>
                            <w:r>
                              <w:rPr>
                                <w:rFonts w:ascii="Arial"/>
                                <w:b/>
                                <w:sz w:val="24"/>
                              </w:rPr>
                              <w:t>Block</w:t>
                            </w:r>
                            <w:r>
                              <w:rPr>
                                <w:rFonts w:ascii="Arial"/>
                                <w:b/>
                                <w:spacing w:val="-14"/>
                                <w:sz w:val="24"/>
                              </w:rPr>
                              <w:t xml:space="preserve"> </w:t>
                            </w:r>
                            <w:r>
                              <w:rPr>
                                <w:rFonts w:ascii="Arial"/>
                                <w:b/>
                                <w:sz w:val="24"/>
                              </w:rPr>
                              <w:t>Exemption</w:t>
                            </w:r>
                            <w:r>
                              <w:rPr>
                                <w:rFonts w:ascii="Arial"/>
                                <w:b/>
                                <w:spacing w:val="-13"/>
                                <w:sz w:val="24"/>
                              </w:rPr>
                              <w:t xml:space="preserve"> </w:t>
                            </w:r>
                            <w:r>
                              <w:rPr>
                                <w:rFonts w:ascii="Arial"/>
                                <w:b/>
                                <w:sz w:val="24"/>
                              </w:rPr>
                              <w:t>by</w:t>
                            </w:r>
                            <w:r>
                              <w:rPr>
                                <w:rFonts w:ascii="Arial"/>
                                <w:b/>
                                <w:spacing w:val="-12"/>
                                <w:sz w:val="24"/>
                              </w:rPr>
                              <w:t xml:space="preserve"> </w:t>
                            </w:r>
                            <w:r>
                              <w:rPr>
                                <w:rFonts w:ascii="Arial"/>
                                <w:b/>
                                <w:sz w:val="24"/>
                              </w:rPr>
                              <w:t>removing</w:t>
                            </w:r>
                            <w:r>
                              <w:rPr>
                                <w:rFonts w:ascii="Arial"/>
                                <w:b/>
                                <w:spacing w:val="-13"/>
                                <w:sz w:val="24"/>
                              </w:rPr>
                              <w:t xml:space="preserve"> </w:t>
                            </w:r>
                            <w:r>
                              <w:rPr>
                                <w:rFonts w:ascii="Arial"/>
                                <w:b/>
                                <w:sz w:val="24"/>
                              </w:rPr>
                              <w:t>the article 34,</w:t>
                            </w:r>
                            <w:proofErr w:type="gramStart"/>
                            <w:r>
                              <w:rPr>
                                <w:rFonts w:ascii="Arial"/>
                                <w:b/>
                                <w:sz w:val="24"/>
                              </w:rPr>
                              <w:t>2,f</w:t>
                            </w:r>
                            <w:proofErr w:type="gramEnd"/>
                            <w:r>
                              <w:rPr>
                                <w:rFonts w:ascii="Arial"/>
                                <w:b/>
                                <w:sz w:val="24"/>
                              </w:rPr>
                              <w:t>,</w:t>
                            </w:r>
                            <w:r>
                              <w:rPr>
                                <w:rFonts w:ascii="Arial"/>
                                <w:b/>
                                <w:spacing w:val="-2"/>
                                <w:sz w:val="24"/>
                              </w:rPr>
                              <w:t xml:space="preserve"> </w:t>
                            </w:r>
                            <w:r>
                              <w:rPr>
                                <w:rFonts w:ascii="Arial"/>
                                <w:b/>
                                <w:sz w:val="24"/>
                              </w:rPr>
                              <w:t>thus introducing a prohibition of using state aid to finance</w:t>
                            </w:r>
                            <w:r>
                              <w:rPr>
                                <w:rFonts w:ascii="Arial"/>
                                <w:b/>
                                <w:spacing w:val="-1"/>
                                <w:sz w:val="24"/>
                              </w:rPr>
                              <w:t xml:space="preserve"> </w:t>
                            </w:r>
                            <w:r>
                              <w:rPr>
                                <w:rFonts w:ascii="Arial"/>
                                <w:b/>
                                <w:sz w:val="24"/>
                              </w:rPr>
                              <w:t xml:space="preserve">sheltered </w:t>
                            </w:r>
                            <w:r>
                              <w:rPr>
                                <w:rFonts w:ascii="Arial"/>
                                <w:b/>
                                <w:spacing w:val="-2"/>
                                <w:sz w:val="24"/>
                              </w:rPr>
                              <w:t>employment.</w:t>
                            </w:r>
                          </w:p>
                        </w:txbxContent>
                      </wps:txbx>
                      <wps:bodyPr wrap="square" lIns="0" tIns="0" rIns="0" bIns="0" rtlCol="0">
                        <a:noAutofit/>
                      </wps:bodyPr>
                    </wps:wsp>
                  </a:graphicData>
                </a:graphic>
              </wp:anchor>
            </w:drawing>
          </mc:Choice>
          <mc:Fallback>
            <w:pict>
              <v:shape w14:anchorId="0B2BEB60" id="Textbox 41" o:spid="_x0000_s1053" type="#_x0000_t202" style="position:absolute;margin-left:66.4pt;margin-top:8.5pt;width:479.4pt;height:129.3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" filled="f" strokeweight=".16931mm">
                <v:path arrowok="t"/>
                <v:textbox inset="0,0,0,0">
                  <w:txbxContent>
                    <w:p w14:paraId="6EBBDB5C" w14:textId="77777777" w:rsidR="00161C10" w:rsidRDefault="00CE2C8C">
                      <w:pPr>
                        <w:spacing w:before="19" w:line="276" w:lineRule="auto"/>
                        <w:ind w:left="108" w:right="108"/>
                        <w:jc w:val="both"/>
                        <w:rPr>
                          <w:rFonts w:ascii="Arial"/>
                          <w:b/>
                          <w:sz w:val="24"/>
                        </w:rPr>
                      </w:pPr>
                      <w:r>
                        <w:rPr>
                          <w:rFonts w:ascii="Arial"/>
                          <w:b/>
                          <w:sz w:val="24"/>
                        </w:rPr>
                        <w:t>The Committee recommends that the EU reforms its rules on services of general economic interest and introduces reservations against state aid being granted to institutions and sheltered employment for disabled people. Specifically, the EU should amend Directives 2014/23/EU and 2014/24/EU, removing the possibility of awarding public procurement contracts to institutions and sheltered employment facilities.</w:t>
                      </w:r>
                      <w:r>
                        <w:rPr>
                          <w:rFonts w:ascii="Arial"/>
                          <w:b/>
                          <w:spacing w:val="-14"/>
                          <w:sz w:val="24"/>
                        </w:rPr>
                        <w:t xml:space="preserve"> </w:t>
                      </w:r>
                      <w:r>
                        <w:rPr>
                          <w:rFonts w:ascii="Arial"/>
                          <w:b/>
                          <w:sz w:val="24"/>
                        </w:rPr>
                        <w:t>The</w:t>
                      </w:r>
                      <w:r>
                        <w:rPr>
                          <w:rFonts w:ascii="Arial"/>
                          <w:b/>
                          <w:spacing w:val="-12"/>
                          <w:sz w:val="24"/>
                        </w:rPr>
                        <w:t xml:space="preserve"> </w:t>
                      </w:r>
                      <w:r>
                        <w:rPr>
                          <w:rFonts w:ascii="Arial"/>
                          <w:b/>
                          <w:sz w:val="24"/>
                        </w:rPr>
                        <w:t>EU</w:t>
                      </w:r>
                      <w:r>
                        <w:rPr>
                          <w:rFonts w:ascii="Arial"/>
                          <w:b/>
                          <w:spacing w:val="-15"/>
                          <w:sz w:val="24"/>
                        </w:rPr>
                        <w:t xml:space="preserve"> </w:t>
                      </w:r>
                      <w:r>
                        <w:rPr>
                          <w:rFonts w:ascii="Arial"/>
                          <w:b/>
                          <w:sz w:val="24"/>
                        </w:rPr>
                        <w:t>should</w:t>
                      </w:r>
                      <w:r>
                        <w:rPr>
                          <w:rFonts w:ascii="Arial"/>
                          <w:b/>
                          <w:spacing w:val="-13"/>
                          <w:sz w:val="24"/>
                        </w:rPr>
                        <w:t xml:space="preserve"> </w:t>
                      </w:r>
                      <w:r>
                        <w:rPr>
                          <w:rFonts w:ascii="Arial"/>
                          <w:b/>
                          <w:sz w:val="24"/>
                        </w:rPr>
                        <w:t>also</w:t>
                      </w:r>
                      <w:r>
                        <w:rPr>
                          <w:rFonts w:ascii="Arial"/>
                          <w:b/>
                          <w:spacing w:val="-15"/>
                          <w:sz w:val="24"/>
                        </w:rPr>
                        <w:t xml:space="preserve"> </w:t>
                      </w:r>
                      <w:r>
                        <w:rPr>
                          <w:rFonts w:ascii="Arial"/>
                          <w:b/>
                          <w:sz w:val="24"/>
                        </w:rPr>
                        <w:t>amend</w:t>
                      </w:r>
                      <w:r>
                        <w:rPr>
                          <w:rFonts w:ascii="Arial"/>
                          <w:b/>
                          <w:spacing w:val="-13"/>
                          <w:sz w:val="24"/>
                        </w:rPr>
                        <w:t xml:space="preserve"> </w:t>
                      </w:r>
                      <w:r>
                        <w:rPr>
                          <w:rFonts w:ascii="Arial"/>
                          <w:b/>
                          <w:sz w:val="24"/>
                        </w:rPr>
                        <w:t>the</w:t>
                      </w:r>
                      <w:r>
                        <w:rPr>
                          <w:rFonts w:ascii="Arial"/>
                          <w:b/>
                          <w:spacing w:val="-14"/>
                          <w:sz w:val="24"/>
                        </w:rPr>
                        <w:t xml:space="preserve"> </w:t>
                      </w:r>
                      <w:r>
                        <w:rPr>
                          <w:rFonts w:ascii="Arial"/>
                          <w:b/>
                          <w:sz w:val="24"/>
                        </w:rPr>
                        <w:t>General</w:t>
                      </w:r>
                      <w:r>
                        <w:rPr>
                          <w:rFonts w:ascii="Arial"/>
                          <w:b/>
                          <w:spacing w:val="-14"/>
                          <w:sz w:val="24"/>
                        </w:rPr>
                        <w:t xml:space="preserve"> </w:t>
                      </w:r>
                      <w:r>
                        <w:rPr>
                          <w:rFonts w:ascii="Arial"/>
                          <w:b/>
                          <w:sz w:val="24"/>
                        </w:rPr>
                        <w:t>Block</w:t>
                      </w:r>
                      <w:r>
                        <w:rPr>
                          <w:rFonts w:ascii="Arial"/>
                          <w:b/>
                          <w:spacing w:val="-14"/>
                          <w:sz w:val="24"/>
                        </w:rPr>
                        <w:t xml:space="preserve"> </w:t>
                      </w:r>
                      <w:r>
                        <w:rPr>
                          <w:rFonts w:ascii="Arial"/>
                          <w:b/>
                          <w:sz w:val="24"/>
                        </w:rPr>
                        <w:t>Exemption</w:t>
                      </w:r>
                      <w:r>
                        <w:rPr>
                          <w:rFonts w:ascii="Arial"/>
                          <w:b/>
                          <w:spacing w:val="-13"/>
                          <w:sz w:val="24"/>
                        </w:rPr>
                        <w:t xml:space="preserve"> </w:t>
                      </w:r>
                      <w:r>
                        <w:rPr>
                          <w:rFonts w:ascii="Arial"/>
                          <w:b/>
                          <w:sz w:val="24"/>
                        </w:rPr>
                        <w:t>by</w:t>
                      </w:r>
                      <w:r>
                        <w:rPr>
                          <w:rFonts w:ascii="Arial"/>
                          <w:b/>
                          <w:spacing w:val="-12"/>
                          <w:sz w:val="24"/>
                        </w:rPr>
                        <w:t xml:space="preserve"> </w:t>
                      </w:r>
                      <w:r>
                        <w:rPr>
                          <w:rFonts w:ascii="Arial"/>
                          <w:b/>
                          <w:sz w:val="24"/>
                        </w:rPr>
                        <w:t>removing</w:t>
                      </w:r>
                      <w:r>
                        <w:rPr>
                          <w:rFonts w:ascii="Arial"/>
                          <w:b/>
                          <w:spacing w:val="-13"/>
                          <w:sz w:val="24"/>
                        </w:rPr>
                        <w:t xml:space="preserve"> </w:t>
                      </w:r>
                      <w:r>
                        <w:rPr>
                          <w:rFonts w:ascii="Arial"/>
                          <w:b/>
                          <w:sz w:val="24"/>
                        </w:rPr>
                        <w:t>the article 34,</w:t>
                      </w:r>
                      <w:proofErr w:type="gramStart"/>
                      <w:r>
                        <w:rPr>
                          <w:rFonts w:ascii="Arial"/>
                          <w:b/>
                          <w:sz w:val="24"/>
                        </w:rPr>
                        <w:t>2,f</w:t>
                      </w:r>
                      <w:proofErr w:type="gramEnd"/>
                      <w:r>
                        <w:rPr>
                          <w:rFonts w:ascii="Arial"/>
                          <w:b/>
                          <w:sz w:val="24"/>
                        </w:rPr>
                        <w:t>,</w:t>
                      </w:r>
                      <w:r>
                        <w:rPr>
                          <w:rFonts w:ascii="Arial"/>
                          <w:b/>
                          <w:spacing w:val="-2"/>
                          <w:sz w:val="24"/>
                        </w:rPr>
                        <w:t xml:space="preserve"> </w:t>
                      </w:r>
                      <w:r>
                        <w:rPr>
                          <w:rFonts w:ascii="Arial"/>
                          <w:b/>
                          <w:sz w:val="24"/>
                        </w:rPr>
                        <w:t>thus introducing a prohibition of using state aid to finance</w:t>
                      </w:r>
                      <w:r>
                        <w:rPr>
                          <w:rFonts w:ascii="Arial"/>
                          <w:b/>
                          <w:spacing w:val="-1"/>
                          <w:sz w:val="24"/>
                        </w:rPr>
                        <w:t xml:space="preserve"> </w:t>
                      </w:r>
                      <w:r>
                        <w:rPr>
                          <w:rFonts w:ascii="Arial"/>
                          <w:b/>
                          <w:sz w:val="24"/>
                        </w:rPr>
                        <w:t xml:space="preserve">sheltered </w:t>
                      </w:r>
                      <w:r>
                        <w:rPr>
                          <w:rFonts w:ascii="Arial"/>
                          <w:b/>
                          <w:spacing w:val="-2"/>
                          <w:sz w:val="24"/>
                        </w:rPr>
                        <w:t>employment.</w:t>
                      </w:r>
                    </w:p>
                  </w:txbxContent>
                </v:textbox>
                <w10:wrap type="topAndBottom" anchorx="page"/>
              </v:shape>
            </w:pict>
          </mc:Fallback>
        </mc:AlternateContent>
      </w:r>
    </w:p>
    <w:p w14:paraId="490E7243" w14:textId="77777777" w:rsidR="00161C10" w:rsidRDefault="00CE2C8C">
      <w:pPr>
        <w:pStyle w:val="Heading3"/>
        <w:numPr>
          <w:ilvl w:val="2"/>
          <w:numId w:val="8"/>
        </w:numPr>
        <w:tabs>
          <w:tab w:val="left" w:pos="1137"/>
        </w:tabs>
        <w:ind w:left="1137" w:hanging="777"/>
      </w:pPr>
      <w:r>
        <w:t>International</w:t>
      </w:r>
      <w:r>
        <w:rPr>
          <w:spacing w:val="-12"/>
        </w:rPr>
        <w:t xml:space="preserve"> </w:t>
      </w:r>
      <w:r>
        <w:t>cooperation</w:t>
      </w:r>
      <w:r>
        <w:rPr>
          <w:spacing w:val="-11"/>
        </w:rPr>
        <w:t xml:space="preserve"> </w:t>
      </w:r>
      <w:r>
        <w:t>(art.</w:t>
      </w:r>
      <w:r>
        <w:rPr>
          <w:spacing w:val="-9"/>
        </w:rPr>
        <w:t xml:space="preserve"> </w:t>
      </w:r>
      <w:r>
        <w:rPr>
          <w:spacing w:val="-5"/>
        </w:rPr>
        <w:t>32)</w:t>
      </w:r>
    </w:p>
    <w:p w14:paraId="4A424BEE" w14:textId="77777777" w:rsidR="00161C10" w:rsidRDefault="00CE2C8C">
      <w:pPr>
        <w:pStyle w:val="Heading4"/>
        <w:numPr>
          <w:ilvl w:val="3"/>
          <w:numId w:val="8"/>
        </w:numPr>
        <w:tabs>
          <w:tab w:val="left" w:pos="1073"/>
        </w:tabs>
        <w:spacing w:before="290"/>
        <w:ind w:hanging="355"/>
        <w:jc w:val="left"/>
      </w:pPr>
      <w:r>
        <w:t>Reply</w:t>
      </w:r>
      <w:r>
        <w:rPr>
          <w:spacing w:val="-2"/>
        </w:rPr>
        <w:t xml:space="preserve"> </w:t>
      </w:r>
      <w:r>
        <w:t>to</w:t>
      </w:r>
      <w:r>
        <w:rPr>
          <w:spacing w:val="-2"/>
        </w:rPr>
        <w:t xml:space="preserve"> </w:t>
      </w:r>
      <w:r>
        <w:t>the</w:t>
      </w:r>
      <w:r>
        <w:rPr>
          <w:spacing w:val="-2"/>
        </w:rPr>
        <w:t xml:space="preserve"> </w:t>
      </w:r>
      <w:r>
        <w:t>issues</w:t>
      </w:r>
      <w:r>
        <w:rPr>
          <w:spacing w:val="-1"/>
        </w:rPr>
        <w:t xml:space="preserve"> </w:t>
      </w:r>
      <w:r>
        <w:t>raised</w:t>
      </w:r>
      <w:r>
        <w:rPr>
          <w:spacing w:val="-5"/>
        </w:rPr>
        <w:t xml:space="preserve"> </w:t>
      </w:r>
      <w:r>
        <w:t>in</w:t>
      </w:r>
      <w:r>
        <w:rPr>
          <w:spacing w:val="-2"/>
        </w:rPr>
        <w:t xml:space="preserve"> </w:t>
      </w:r>
      <w:r>
        <w:t>paragraph</w:t>
      </w:r>
      <w:r>
        <w:rPr>
          <w:spacing w:val="-2"/>
        </w:rPr>
        <w:t xml:space="preserve"> </w:t>
      </w:r>
      <w:r>
        <w:t>33a</w:t>
      </w:r>
      <w:r>
        <w:rPr>
          <w:spacing w:val="-1"/>
        </w:rPr>
        <w:t xml:space="preserve"> </w:t>
      </w:r>
      <w:r>
        <w:t>of</w:t>
      </w:r>
      <w:r>
        <w:rPr>
          <w:spacing w:val="-2"/>
        </w:rPr>
        <w:t xml:space="preserve"> </w:t>
      </w:r>
      <w:r>
        <w:t>the</w:t>
      </w:r>
      <w:r>
        <w:rPr>
          <w:spacing w:val="-2"/>
        </w:rPr>
        <w:t xml:space="preserve"> </w:t>
      </w:r>
      <w:r>
        <w:t>list</w:t>
      </w:r>
      <w:r>
        <w:rPr>
          <w:spacing w:val="-1"/>
        </w:rPr>
        <w:t xml:space="preserve"> </w:t>
      </w:r>
      <w:r>
        <w:t>of</w:t>
      </w:r>
      <w:r>
        <w:rPr>
          <w:spacing w:val="-4"/>
        </w:rPr>
        <w:t xml:space="preserve"> </w:t>
      </w:r>
      <w:r>
        <w:rPr>
          <w:spacing w:val="-2"/>
        </w:rPr>
        <w:t>issues</w:t>
      </w:r>
    </w:p>
    <w:p w14:paraId="6C67D043" w14:textId="77777777" w:rsidR="00161C10" w:rsidRDefault="00CE2C8C">
      <w:pPr>
        <w:spacing w:before="159" w:line="276" w:lineRule="auto"/>
        <w:ind w:left="360" w:right="363"/>
        <w:jc w:val="both"/>
        <w:rPr>
          <w:rFonts w:ascii="Arial" w:hAnsi="Arial"/>
          <w:i/>
          <w:sz w:val="24"/>
        </w:rPr>
      </w:pPr>
      <w:r>
        <w:rPr>
          <w:rFonts w:ascii="Arial" w:hAnsi="Arial"/>
          <w:i/>
          <w:sz w:val="24"/>
        </w:rPr>
        <w:t>The European Union states that “The EU’s work towards the implementation of the UNCRPD globally is guided by external action policy documents, notably the 2017 European</w:t>
      </w:r>
      <w:r>
        <w:rPr>
          <w:rFonts w:ascii="Arial" w:hAnsi="Arial"/>
          <w:i/>
          <w:spacing w:val="59"/>
          <w:sz w:val="24"/>
        </w:rPr>
        <w:t xml:space="preserve"> </w:t>
      </w:r>
      <w:r>
        <w:rPr>
          <w:rFonts w:ascii="Arial" w:hAnsi="Arial"/>
          <w:i/>
          <w:sz w:val="24"/>
        </w:rPr>
        <w:t>Consensus</w:t>
      </w:r>
      <w:r>
        <w:rPr>
          <w:rFonts w:ascii="Arial" w:hAnsi="Arial"/>
          <w:i/>
          <w:spacing w:val="58"/>
          <w:sz w:val="24"/>
        </w:rPr>
        <w:t xml:space="preserve"> </w:t>
      </w:r>
      <w:r>
        <w:rPr>
          <w:rFonts w:ascii="Arial" w:hAnsi="Arial"/>
          <w:i/>
          <w:sz w:val="24"/>
        </w:rPr>
        <w:t>on</w:t>
      </w:r>
      <w:r>
        <w:rPr>
          <w:rFonts w:ascii="Arial" w:hAnsi="Arial"/>
          <w:i/>
          <w:spacing w:val="58"/>
          <w:sz w:val="24"/>
        </w:rPr>
        <w:t xml:space="preserve"> </w:t>
      </w:r>
      <w:r>
        <w:rPr>
          <w:rFonts w:ascii="Arial" w:hAnsi="Arial"/>
          <w:i/>
          <w:sz w:val="24"/>
        </w:rPr>
        <w:t>Development,</w:t>
      </w:r>
      <w:r>
        <w:rPr>
          <w:rFonts w:ascii="Arial" w:hAnsi="Arial"/>
          <w:i/>
          <w:spacing w:val="59"/>
          <w:sz w:val="24"/>
        </w:rPr>
        <w:t xml:space="preserve"> </w:t>
      </w:r>
      <w:r>
        <w:rPr>
          <w:rFonts w:ascii="Arial" w:hAnsi="Arial"/>
          <w:i/>
          <w:sz w:val="24"/>
        </w:rPr>
        <w:t>the</w:t>
      </w:r>
      <w:r>
        <w:rPr>
          <w:rFonts w:ascii="Arial" w:hAnsi="Arial"/>
          <w:i/>
          <w:spacing w:val="62"/>
          <w:sz w:val="24"/>
        </w:rPr>
        <w:t xml:space="preserve"> </w:t>
      </w:r>
      <w:r>
        <w:rPr>
          <w:rFonts w:ascii="Arial" w:hAnsi="Arial"/>
          <w:i/>
          <w:sz w:val="24"/>
        </w:rPr>
        <w:t>EU</w:t>
      </w:r>
      <w:r>
        <w:rPr>
          <w:rFonts w:ascii="Arial" w:hAnsi="Arial"/>
          <w:i/>
          <w:spacing w:val="58"/>
          <w:sz w:val="24"/>
        </w:rPr>
        <w:t xml:space="preserve"> </w:t>
      </w:r>
      <w:r>
        <w:rPr>
          <w:rFonts w:ascii="Arial" w:hAnsi="Arial"/>
          <w:i/>
          <w:sz w:val="24"/>
        </w:rPr>
        <w:t>Action</w:t>
      </w:r>
      <w:r>
        <w:rPr>
          <w:rFonts w:ascii="Arial" w:hAnsi="Arial"/>
          <w:i/>
          <w:spacing w:val="59"/>
          <w:sz w:val="24"/>
        </w:rPr>
        <w:t xml:space="preserve"> </w:t>
      </w:r>
      <w:r>
        <w:rPr>
          <w:rFonts w:ascii="Arial" w:hAnsi="Arial"/>
          <w:i/>
          <w:sz w:val="24"/>
        </w:rPr>
        <w:t>Plan</w:t>
      </w:r>
      <w:r>
        <w:rPr>
          <w:rFonts w:ascii="Arial" w:hAnsi="Arial"/>
          <w:i/>
          <w:spacing w:val="60"/>
          <w:sz w:val="24"/>
        </w:rPr>
        <w:t xml:space="preserve"> </w:t>
      </w:r>
      <w:r>
        <w:rPr>
          <w:rFonts w:ascii="Arial" w:hAnsi="Arial"/>
          <w:i/>
          <w:sz w:val="24"/>
        </w:rPr>
        <w:t>on</w:t>
      </w:r>
      <w:r>
        <w:rPr>
          <w:rFonts w:ascii="Arial" w:hAnsi="Arial"/>
          <w:i/>
          <w:spacing w:val="59"/>
          <w:sz w:val="24"/>
        </w:rPr>
        <w:t xml:space="preserve"> </w:t>
      </w:r>
      <w:r>
        <w:rPr>
          <w:rFonts w:ascii="Arial" w:hAnsi="Arial"/>
          <w:i/>
          <w:sz w:val="24"/>
        </w:rPr>
        <w:t>Human</w:t>
      </w:r>
      <w:r>
        <w:rPr>
          <w:rFonts w:ascii="Arial" w:hAnsi="Arial"/>
          <w:i/>
          <w:spacing w:val="60"/>
          <w:sz w:val="24"/>
        </w:rPr>
        <w:t xml:space="preserve"> </w:t>
      </w:r>
      <w:r>
        <w:rPr>
          <w:rFonts w:ascii="Arial" w:hAnsi="Arial"/>
          <w:i/>
          <w:sz w:val="24"/>
        </w:rPr>
        <w:t>Rights</w:t>
      </w:r>
      <w:r>
        <w:rPr>
          <w:rFonts w:ascii="Arial" w:hAnsi="Arial"/>
          <w:i/>
          <w:spacing w:val="59"/>
          <w:sz w:val="24"/>
        </w:rPr>
        <w:t xml:space="preserve"> </w:t>
      </w:r>
      <w:r>
        <w:rPr>
          <w:rFonts w:ascii="Arial" w:hAnsi="Arial"/>
          <w:i/>
          <w:sz w:val="24"/>
        </w:rPr>
        <w:t>and</w:t>
      </w:r>
    </w:p>
    <w:p w14:paraId="65AD7C45" w14:textId="77777777" w:rsidR="00161C10" w:rsidRDefault="00161C10">
      <w:pPr>
        <w:spacing w:line="276" w:lineRule="auto"/>
        <w:jc w:val="both"/>
        <w:rPr>
          <w:rFonts w:ascii="Arial" w:hAnsi="Arial"/>
          <w:i/>
          <w:sz w:val="24"/>
        </w:rPr>
        <w:sectPr w:rsidR="00161C10">
          <w:pgSz w:w="12240" w:h="15840"/>
          <w:pgMar w:top="1360" w:right="1080" w:bottom="1520" w:left="1080" w:header="0" w:footer="1274" w:gutter="0"/>
          <w:cols w:space="720"/>
        </w:sectPr>
      </w:pPr>
    </w:p>
    <w:p w14:paraId="4B854C7D" w14:textId="77777777" w:rsidR="00161C10" w:rsidRDefault="00CE2C8C">
      <w:pPr>
        <w:spacing w:before="81" w:line="276" w:lineRule="auto"/>
        <w:ind w:left="360" w:right="355"/>
        <w:jc w:val="both"/>
        <w:rPr>
          <w:rFonts w:ascii="Arial" w:hAnsi="Arial"/>
          <w:i/>
          <w:sz w:val="24"/>
        </w:rPr>
      </w:pPr>
      <w:r>
        <w:rPr>
          <w:rFonts w:ascii="Arial" w:hAnsi="Arial"/>
          <w:i/>
          <w:sz w:val="24"/>
        </w:rPr>
        <w:lastRenderedPageBreak/>
        <w:t>Democracy 2020–2024, the EU Human Rights Guidelines on Non-Discrimination in External</w:t>
      </w:r>
      <w:r>
        <w:rPr>
          <w:rFonts w:ascii="Arial" w:hAnsi="Arial"/>
          <w:i/>
          <w:spacing w:val="-13"/>
          <w:sz w:val="24"/>
        </w:rPr>
        <w:t xml:space="preserve"> </w:t>
      </w:r>
      <w:r>
        <w:rPr>
          <w:rFonts w:ascii="Arial" w:hAnsi="Arial"/>
          <w:i/>
          <w:sz w:val="24"/>
        </w:rPr>
        <w:t>Action,</w:t>
      </w:r>
      <w:r>
        <w:rPr>
          <w:rFonts w:ascii="Arial" w:hAnsi="Arial"/>
          <w:i/>
          <w:spacing w:val="-10"/>
          <w:sz w:val="24"/>
        </w:rPr>
        <w:t xml:space="preserve"> </w:t>
      </w:r>
      <w:r>
        <w:rPr>
          <w:rFonts w:ascii="Arial" w:hAnsi="Arial"/>
          <w:i/>
          <w:sz w:val="24"/>
        </w:rPr>
        <w:t>and</w:t>
      </w:r>
      <w:r>
        <w:rPr>
          <w:rFonts w:ascii="Arial" w:hAnsi="Arial"/>
          <w:i/>
          <w:spacing w:val="-12"/>
          <w:sz w:val="24"/>
        </w:rPr>
        <w:t xml:space="preserve"> </w:t>
      </w:r>
      <w:r>
        <w:rPr>
          <w:rFonts w:ascii="Arial" w:hAnsi="Arial"/>
          <w:i/>
          <w:sz w:val="24"/>
        </w:rPr>
        <w:t>the</w:t>
      </w:r>
      <w:r>
        <w:rPr>
          <w:rFonts w:ascii="Arial" w:hAnsi="Arial"/>
          <w:i/>
          <w:spacing w:val="-9"/>
          <w:sz w:val="24"/>
        </w:rPr>
        <w:t xml:space="preserve"> </w:t>
      </w:r>
      <w:r>
        <w:rPr>
          <w:rFonts w:ascii="Arial" w:hAnsi="Arial"/>
          <w:i/>
          <w:sz w:val="24"/>
        </w:rPr>
        <w:t>EU</w:t>
      </w:r>
      <w:r>
        <w:rPr>
          <w:rFonts w:ascii="Arial" w:hAnsi="Arial"/>
          <w:i/>
          <w:spacing w:val="-11"/>
          <w:sz w:val="24"/>
        </w:rPr>
        <w:t xml:space="preserve"> </w:t>
      </w:r>
      <w:r>
        <w:rPr>
          <w:rFonts w:ascii="Arial" w:hAnsi="Arial"/>
          <w:i/>
          <w:sz w:val="24"/>
        </w:rPr>
        <w:t>Guidelines</w:t>
      </w:r>
      <w:r>
        <w:rPr>
          <w:rFonts w:ascii="Arial" w:hAnsi="Arial"/>
          <w:i/>
          <w:spacing w:val="-10"/>
          <w:sz w:val="24"/>
        </w:rPr>
        <w:t xml:space="preserve"> </w:t>
      </w:r>
      <w:r>
        <w:rPr>
          <w:rFonts w:ascii="Arial" w:hAnsi="Arial"/>
          <w:i/>
          <w:sz w:val="24"/>
        </w:rPr>
        <w:t>on</w:t>
      </w:r>
      <w:r>
        <w:rPr>
          <w:rFonts w:ascii="Arial" w:hAnsi="Arial"/>
          <w:i/>
          <w:spacing w:val="-9"/>
          <w:sz w:val="24"/>
        </w:rPr>
        <w:t xml:space="preserve"> </w:t>
      </w:r>
      <w:r>
        <w:rPr>
          <w:rFonts w:ascii="Arial" w:hAnsi="Arial"/>
          <w:i/>
          <w:sz w:val="24"/>
        </w:rPr>
        <w:t>EU</w:t>
      </w:r>
      <w:r>
        <w:rPr>
          <w:rFonts w:ascii="Arial" w:hAnsi="Arial"/>
          <w:i/>
          <w:spacing w:val="-13"/>
          <w:sz w:val="24"/>
        </w:rPr>
        <w:t xml:space="preserve"> </w:t>
      </w:r>
      <w:r>
        <w:rPr>
          <w:rFonts w:ascii="Arial" w:hAnsi="Arial"/>
          <w:i/>
          <w:sz w:val="24"/>
        </w:rPr>
        <w:t>Policy</w:t>
      </w:r>
      <w:r>
        <w:rPr>
          <w:rFonts w:ascii="Arial" w:hAnsi="Arial"/>
          <w:i/>
          <w:spacing w:val="-10"/>
          <w:sz w:val="24"/>
        </w:rPr>
        <w:t xml:space="preserve"> </w:t>
      </w:r>
      <w:r>
        <w:rPr>
          <w:rFonts w:ascii="Arial" w:hAnsi="Arial"/>
          <w:i/>
          <w:sz w:val="24"/>
        </w:rPr>
        <w:t>Towards</w:t>
      </w:r>
      <w:r>
        <w:rPr>
          <w:rFonts w:ascii="Arial" w:hAnsi="Arial"/>
          <w:i/>
          <w:spacing w:val="-13"/>
          <w:sz w:val="24"/>
        </w:rPr>
        <w:t xml:space="preserve"> </w:t>
      </w:r>
      <w:r>
        <w:rPr>
          <w:rFonts w:ascii="Arial" w:hAnsi="Arial"/>
          <w:i/>
          <w:sz w:val="24"/>
        </w:rPr>
        <w:t>Third</w:t>
      </w:r>
      <w:r>
        <w:rPr>
          <w:rFonts w:ascii="Arial" w:hAnsi="Arial"/>
          <w:i/>
          <w:spacing w:val="-12"/>
          <w:sz w:val="24"/>
        </w:rPr>
        <w:t xml:space="preserve"> </w:t>
      </w:r>
      <w:r>
        <w:rPr>
          <w:rFonts w:ascii="Arial" w:hAnsi="Arial"/>
          <w:i/>
          <w:sz w:val="24"/>
        </w:rPr>
        <w:t>Countries</w:t>
      </w:r>
      <w:r>
        <w:rPr>
          <w:rFonts w:ascii="Arial" w:hAnsi="Arial"/>
          <w:i/>
          <w:spacing w:val="-13"/>
          <w:sz w:val="24"/>
        </w:rPr>
        <w:t xml:space="preserve"> </w:t>
      </w:r>
      <w:r>
        <w:rPr>
          <w:rFonts w:ascii="Arial" w:hAnsi="Arial"/>
          <w:i/>
          <w:sz w:val="24"/>
        </w:rPr>
        <w:t>on</w:t>
      </w:r>
      <w:r>
        <w:rPr>
          <w:rFonts w:ascii="Arial" w:hAnsi="Arial"/>
          <w:i/>
          <w:spacing w:val="-9"/>
          <w:sz w:val="24"/>
        </w:rPr>
        <w:t xml:space="preserve"> </w:t>
      </w:r>
      <w:r>
        <w:rPr>
          <w:rFonts w:ascii="Arial" w:hAnsi="Arial"/>
          <w:i/>
          <w:sz w:val="24"/>
        </w:rPr>
        <w:t>Torture and Other Cruel, Inhuman or Degrading Treatment or Punishment.”</w:t>
      </w:r>
    </w:p>
    <w:p w14:paraId="53D4470D" w14:textId="77777777" w:rsidR="00161C10" w:rsidRDefault="00CE2C8C">
      <w:pPr>
        <w:pStyle w:val="BodyText"/>
        <w:spacing w:before="120" w:line="276" w:lineRule="auto"/>
        <w:ind w:left="360" w:right="356"/>
        <w:jc w:val="both"/>
      </w:pPr>
      <w:r>
        <w:t>ENIL notes that the EU does not address the Committee’s question of developing a specific</w:t>
      </w:r>
      <w:r>
        <w:rPr>
          <w:spacing w:val="-11"/>
        </w:rPr>
        <w:t xml:space="preserve"> </w:t>
      </w:r>
      <w:r>
        <w:t>disability</w:t>
      </w:r>
      <w:r>
        <w:rPr>
          <w:spacing w:val="-10"/>
        </w:rPr>
        <w:t xml:space="preserve"> </w:t>
      </w:r>
      <w:r>
        <w:t>strategy</w:t>
      </w:r>
      <w:r>
        <w:rPr>
          <w:spacing w:val="-10"/>
        </w:rPr>
        <w:t xml:space="preserve"> </w:t>
      </w:r>
      <w:r>
        <w:t>for</w:t>
      </w:r>
      <w:r>
        <w:rPr>
          <w:spacing w:val="-11"/>
        </w:rPr>
        <w:t xml:space="preserve"> </w:t>
      </w:r>
      <w:r>
        <w:t>its</w:t>
      </w:r>
      <w:r>
        <w:rPr>
          <w:spacing w:val="-10"/>
        </w:rPr>
        <w:t xml:space="preserve"> </w:t>
      </w:r>
      <w:r>
        <w:t>international</w:t>
      </w:r>
      <w:r>
        <w:rPr>
          <w:spacing w:val="-11"/>
        </w:rPr>
        <w:t xml:space="preserve"> </w:t>
      </w:r>
      <w:r>
        <w:t>cooperation.</w:t>
      </w:r>
      <w:r>
        <w:rPr>
          <w:spacing w:val="-10"/>
        </w:rPr>
        <w:t xml:space="preserve"> </w:t>
      </w:r>
      <w:r>
        <w:t>The</w:t>
      </w:r>
      <w:r>
        <w:rPr>
          <w:spacing w:val="-6"/>
        </w:rPr>
        <w:t xml:space="preserve"> </w:t>
      </w:r>
      <w:hyperlink r:id="rId110">
        <w:r>
          <w:rPr>
            <w:color w:val="1154CC"/>
            <w:u w:val="single" w:color="1154CC"/>
          </w:rPr>
          <w:t>EU</w:t>
        </w:r>
        <w:r>
          <w:rPr>
            <w:color w:val="1154CC"/>
            <w:spacing w:val="-11"/>
            <w:u w:val="single" w:color="1154CC"/>
          </w:rPr>
          <w:t xml:space="preserve"> </w:t>
        </w:r>
        <w:r>
          <w:rPr>
            <w:color w:val="1154CC"/>
            <w:u w:val="single" w:color="1154CC"/>
          </w:rPr>
          <w:t>Strategy</w:t>
        </w:r>
        <w:r>
          <w:rPr>
            <w:color w:val="1154CC"/>
            <w:spacing w:val="-13"/>
            <w:u w:val="single" w:color="1154CC"/>
          </w:rPr>
          <w:t xml:space="preserve"> </w:t>
        </w:r>
        <w:r>
          <w:rPr>
            <w:color w:val="1154CC"/>
            <w:u w:val="single" w:color="1154CC"/>
          </w:rPr>
          <w:t>on</w:t>
        </w:r>
        <w:r>
          <w:rPr>
            <w:color w:val="1154CC"/>
            <w:spacing w:val="-12"/>
            <w:u w:val="single" w:color="1154CC"/>
          </w:rPr>
          <w:t xml:space="preserve"> </w:t>
        </w:r>
        <w:r>
          <w:rPr>
            <w:color w:val="1154CC"/>
            <w:u w:val="single" w:color="1154CC"/>
          </w:rPr>
          <w:t>the</w:t>
        </w:r>
        <w:r>
          <w:rPr>
            <w:color w:val="1154CC"/>
            <w:spacing w:val="-12"/>
            <w:u w:val="single" w:color="1154CC"/>
          </w:rPr>
          <w:t xml:space="preserve"> </w:t>
        </w:r>
        <w:r>
          <w:rPr>
            <w:color w:val="1154CC"/>
            <w:u w:val="single" w:color="1154CC"/>
          </w:rPr>
          <w:t>Rights</w:t>
        </w:r>
      </w:hyperlink>
      <w:r>
        <w:rPr>
          <w:color w:val="1154CC"/>
        </w:rPr>
        <w:t xml:space="preserve"> </w:t>
      </w:r>
      <w:hyperlink r:id="rId111">
        <w:r>
          <w:rPr>
            <w:color w:val="1154CC"/>
            <w:u w:val="single" w:color="1154CC"/>
          </w:rPr>
          <w:t>of Persons with Disabilities 2021-2030</w:t>
        </w:r>
      </w:hyperlink>
      <w:r>
        <w:rPr>
          <w:color w:val="1154CC"/>
          <w:u w:val="single" w:color="1154CC"/>
        </w:rPr>
        <w:t xml:space="preserve"> </w:t>
      </w:r>
      <w:r>
        <w:t>includes a section on international cooperation, with</w:t>
      </w:r>
      <w:r>
        <w:rPr>
          <w:spacing w:val="-17"/>
        </w:rPr>
        <w:t xml:space="preserve"> </w:t>
      </w:r>
      <w:r>
        <w:t>five</w:t>
      </w:r>
      <w:r>
        <w:rPr>
          <w:spacing w:val="-17"/>
        </w:rPr>
        <w:t xml:space="preserve"> </w:t>
      </w:r>
      <w:r>
        <w:t>specific</w:t>
      </w:r>
      <w:r>
        <w:rPr>
          <w:spacing w:val="-16"/>
        </w:rPr>
        <w:t xml:space="preserve"> </w:t>
      </w:r>
      <w:r>
        <w:t>initiatives,</w:t>
      </w:r>
      <w:r>
        <w:rPr>
          <w:spacing w:val="-17"/>
        </w:rPr>
        <w:t xml:space="preserve"> </w:t>
      </w:r>
      <w:r>
        <w:t>but</w:t>
      </w:r>
      <w:r>
        <w:rPr>
          <w:spacing w:val="-17"/>
        </w:rPr>
        <w:t xml:space="preserve"> </w:t>
      </w:r>
      <w:r>
        <w:t>these</w:t>
      </w:r>
      <w:r>
        <w:rPr>
          <w:spacing w:val="-17"/>
        </w:rPr>
        <w:t xml:space="preserve"> </w:t>
      </w:r>
      <w:r>
        <w:t>aim</w:t>
      </w:r>
      <w:r>
        <w:rPr>
          <w:spacing w:val="-16"/>
        </w:rPr>
        <w:t xml:space="preserve"> </w:t>
      </w:r>
      <w:r>
        <w:t>to</w:t>
      </w:r>
      <w:r>
        <w:rPr>
          <w:spacing w:val="-17"/>
        </w:rPr>
        <w:t xml:space="preserve"> </w:t>
      </w:r>
      <w:r>
        <w:t>strengthen</w:t>
      </w:r>
      <w:r>
        <w:rPr>
          <w:spacing w:val="-17"/>
        </w:rPr>
        <w:t xml:space="preserve"> </w:t>
      </w:r>
      <w:r>
        <w:t>existing</w:t>
      </w:r>
      <w:r>
        <w:rPr>
          <w:spacing w:val="-16"/>
        </w:rPr>
        <w:t xml:space="preserve"> </w:t>
      </w:r>
      <w:r>
        <w:t>actions</w:t>
      </w:r>
      <w:r>
        <w:rPr>
          <w:spacing w:val="-17"/>
        </w:rPr>
        <w:t xml:space="preserve"> </w:t>
      </w:r>
      <w:r>
        <w:t>instead</w:t>
      </w:r>
      <w:r>
        <w:rPr>
          <w:spacing w:val="-17"/>
        </w:rPr>
        <w:t xml:space="preserve"> </w:t>
      </w:r>
      <w:r>
        <w:t>of</w:t>
      </w:r>
      <w:r>
        <w:rPr>
          <w:spacing w:val="-16"/>
        </w:rPr>
        <w:t xml:space="preserve"> </w:t>
      </w:r>
      <w:r>
        <w:t>creating new objectives and goals. The actions lacked defined timeframes, allocated budget and indicators.</w:t>
      </w:r>
      <w:hyperlink w:anchor="_bookmark14" w:history="1">
        <w:r>
          <w:rPr>
            <w:position w:val="8"/>
            <w:sz w:val="16"/>
          </w:rPr>
          <w:t>15</w:t>
        </w:r>
      </w:hyperlink>
      <w:r>
        <w:rPr>
          <w:spacing w:val="24"/>
          <w:position w:val="8"/>
          <w:sz w:val="16"/>
        </w:rPr>
        <w:t xml:space="preserve"> </w:t>
      </w:r>
      <w:r>
        <w:t>As the largest donor of Official Development Assistance globally, this is not sufficient to guide disability-inclusive development aid. Disabled people, DPOs and Centers for Independent Living globally struggle to access external EU funding, due to the inaccessibility of the calls and the</w:t>
      </w:r>
      <w:r>
        <w:rPr>
          <w:spacing w:val="-2"/>
        </w:rPr>
        <w:t xml:space="preserve"> </w:t>
      </w:r>
      <w:r>
        <w:t>difficulty to access funding as</w:t>
      </w:r>
      <w:r>
        <w:rPr>
          <w:spacing w:val="-5"/>
        </w:rPr>
        <w:t xml:space="preserve"> </w:t>
      </w:r>
      <w:r>
        <w:t>small</w:t>
      </w:r>
      <w:r>
        <w:rPr>
          <w:spacing w:val="-1"/>
        </w:rPr>
        <w:t xml:space="preserve"> </w:t>
      </w:r>
      <w:proofErr w:type="spellStart"/>
      <w:r>
        <w:t>organisations</w:t>
      </w:r>
      <w:proofErr w:type="spellEnd"/>
      <w:r>
        <w:t>.</w:t>
      </w:r>
    </w:p>
    <w:p w14:paraId="11B6B04B" w14:textId="77777777" w:rsidR="00161C10" w:rsidRDefault="00CE2C8C">
      <w:pPr>
        <w:pStyle w:val="BodyText"/>
        <w:spacing w:before="116" w:line="276" w:lineRule="auto"/>
        <w:ind w:left="360" w:right="355"/>
        <w:jc w:val="both"/>
      </w:pPr>
      <w:r>
        <w:t>In</w:t>
      </w:r>
      <w:r>
        <w:rPr>
          <w:spacing w:val="-7"/>
        </w:rPr>
        <w:t xml:space="preserve"> </w:t>
      </w:r>
      <w:r>
        <w:t>the</w:t>
      </w:r>
      <w:r>
        <w:rPr>
          <w:spacing w:val="-7"/>
        </w:rPr>
        <w:t xml:space="preserve"> </w:t>
      </w:r>
      <w:hyperlink r:id="rId112">
        <w:r>
          <w:t>European</w:t>
        </w:r>
        <w:r>
          <w:rPr>
            <w:spacing w:val="-7"/>
          </w:rPr>
          <w:t xml:space="preserve"> </w:t>
        </w:r>
        <w:r>
          <w:t>Union</w:t>
        </w:r>
        <w:r>
          <w:rPr>
            <w:spacing w:val="-9"/>
          </w:rPr>
          <w:t xml:space="preserve"> </w:t>
        </w:r>
        <w:r>
          <w:t>Guidance</w:t>
        </w:r>
        <w:r>
          <w:rPr>
            <w:spacing w:val="-7"/>
          </w:rPr>
          <w:t xml:space="preserve"> </w:t>
        </w:r>
        <w:r>
          <w:t>Note</w:t>
        </w:r>
        <w:r>
          <w:rPr>
            <w:spacing w:val="-7"/>
          </w:rPr>
          <w:t xml:space="preserve"> </w:t>
        </w:r>
        <w:r>
          <w:t>on</w:t>
        </w:r>
        <w:r>
          <w:rPr>
            <w:spacing w:val="-7"/>
          </w:rPr>
          <w:t xml:space="preserve"> </w:t>
        </w:r>
        <w:r>
          <w:t>"Leaving</w:t>
        </w:r>
        <w:r>
          <w:rPr>
            <w:spacing w:val="-7"/>
          </w:rPr>
          <w:t xml:space="preserve"> </w:t>
        </w:r>
        <w:r>
          <w:t>no</w:t>
        </w:r>
        <w:r>
          <w:rPr>
            <w:spacing w:val="-7"/>
          </w:rPr>
          <w:t xml:space="preserve"> </w:t>
        </w:r>
        <w:r>
          <w:t>one</w:t>
        </w:r>
        <w:r>
          <w:rPr>
            <w:spacing w:val="-9"/>
          </w:rPr>
          <w:t xml:space="preserve"> </w:t>
        </w:r>
        <w:r>
          <w:t>behind</w:t>
        </w:r>
        <w:r>
          <w:rPr>
            <w:spacing w:val="-1"/>
          </w:rPr>
          <w:t xml:space="preserve"> </w:t>
        </w:r>
        <w:r>
          <w:t>-</w:t>
        </w:r>
        <w:r>
          <w:rPr>
            <w:spacing w:val="-11"/>
          </w:rPr>
          <w:t xml:space="preserve"> </w:t>
        </w:r>
        <w:r>
          <w:t>Disability</w:t>
        </w:r>
        <w:r>
          <w:rPr>
            <w:spacing w:val="-8"/>
          </w:rPr>
          <w:t xml:space="preserve"> </w:t>
        </w:r>
        <w:r>
          <w:t>Inclusion</w:t>
        </w:r>
        <w:r>
          <w:rPr>
            <w:spacing w:val="-7"/>
          </w:rPr>
          <w:t xml:space="preserve"> </w:t>
        </w:r>
        <w:r>
          <w:t>in</w:t>
        </w:r>
      </w:hyperlink>
      <w:r>
        <w:t xml:space="preserve"> </w:t>
      </w:r>
      <w:hyperlink r:id="rId113">
        <w:r>
          <w:t>EU</w:t>
        </w:r>
        <w:r>
          <w:rPr>
            <w:spacing w:val="-3"/>
          </w:rPr>
          <w:t xml:space="preserve"> </w:t>
        </w:r>
        <w:r>
          <w:t>External</w:t>
        </w:r>
        <w:r>
          <w:rPr>
            <w:spacing w:val="-3"/>
          </w:rPr>
          <w:t xml:space="preserve"> </w:t>
        </w:r>
        <w:r>
          <w:t>Action</w:t>
        </w:r>
      </w:hyperlink>
      <w:hyperlink r:id="rId114">
        <w:r>
          <w:t>”</w:t>
        </w:r>
      </w:hyperlink>
      <w:r>
        <w:t>,</w:t>
      </w:r>
      <w:r>
        <w:rPr>
          <w:spacing w:val="-3"/>
        </w:rPr>
        <w:t xml:space="preserve"> </w:t>
      </w:r>
      <w:r>
        <w:t>which</w:t>
      </w:r>
      <w:r>
        <w:rPr>
          <w:spacing w:val="-3"/>
        </w:rPr>
        <w:t xml:space="preserve"> </w:t>
      </w:r>
      <w:r>
        <w:t>guides</w:t>
      </w:r>
      <w:r>
        <w:rPr>
          <w:spacing w:val="-6"/>
        </w:rPr>
        <w:t xml:space="preserve"> </w:t>
      </w:r>
      <w:r>
        <w:t>EU’s</w:t>
      </w:r>
      <w:r>
        <w:rPr>
          <w:spacing w:val="-3"/>
        </w:rPr>
        <w:t xml:space="preserve"> </w:t>
      </w:r>
      <w:r>
        <w:t>staff</w:t>
      </w:r>
      <w:r>
        <w:rPr>
          <w:spacing w:val="-5"/>
        </w:rPr>
        <w:t xml:space="preserve"> </w:t>
      </w:r>
      <w:r>
        <w:t>and</w:t>
      </w:r>
      <w:r>
        <w:rPr>
          <w:spacing w:val="-5"/>
        </w:rPr>
        <w:t xml:space="preserve"> </w:t>
      </w:r>
      <w:r>
        <w:t>partners</w:t>
      </w:r>
      <w:r>
        <w:rPr>
          <w:spacing w:val="-3"/>
        </w:rPr>
        <w:t xml:space="preserve"> </w:t>
      </w:r>
      <w:r>
        <w:t>working</w:t>
      </w:r>
      <w:r>
        <w:rPr>
          <w:spacing w:val="-5"/>
        </w:rPr>
        <w:t xml:space="preserve"> </w:t>
      </w:r>
      <w:r>
        <w:t>in</w:t>
      </w:r>
      <w:r>
        <w:rPr>
          <w:spacing w:val="-3"/>
        </w:rPr>
        <w:t xml:space="preserve"> </w:t>
      </w:r>
      <w:r>
        <w:t>external</w:t>
      </w:r>
      <w:r>
        <w:rPr>
          <w:spacing w:val="-6"/>
        </w:rPr>
        <w:t xml:space="preserve"> </w:t>
      </w:r>
      <w:r>
        <w:t>action,</w:t>
      </w:r>
      <w:r>
        <w:rPr>
          <w:spacing w:val="-3"/>
        </w:rPr>
        <w:t xml:space="preserve"> </w:t>
      </w:r>
      <w:r>
        <w:t xml:space="preserve">the EU </w:t>
      </w:r>
      <w:proofErr w:type="spellStart"/>
      <w:r>
        <w:t>recognises</w:t>
      </w:r>
      <w:proofErr w:type="spellEnd"/>
      <w:r>
        <w:t xml:space="preserve"> the need for its staff and delegations around the world to further work on the implementation of the UNCRPD. The EU has further committed to use of the </w:t>
      </w:r>
      <w:proofErr w:type="spellStart"/>
      <w:r>
        <w:t>Organisation</w:t>
      </w:r>
      <w:proofErr w:type="spellEnd"/>
      <w:r>
        <w:t xml:space="preserve"> for Economic Cooperation and Development’s Development Assistance Committee (OECD-DAC) disability marker to screen 100% of its Official Development </w:t>
      </w:r>
      <w:r>
        <w:rPr>
          <w:spacing w:val="-2"/>
        </w:rPr>
        <w:t>Assistance.</w:t>
      </w:r>
    </w:p>
    <w:p w14:paraId="2895D64F" w14:textId="77777777" w:rsidR="00161C10" w:rsidRDefault="00CE2C8C">
      <w:pPr>
        <w:pStyle w:val="BodyText"/>
        <w:spacing w:before="121" w:line="276" w:lineRule="auto"/>
        <w:ind w:left="360" w:right="363"/>
        <w:jc w:val="both"/>
      </w:pPr>
      <w:r>
        <w:t>We welcome this initiative as an example of the EU’s increasing efforts to promote disability-inclusive development among its staff and partners, but a specific disability inclusion strategy with clear goals and priorities remains missing.</w:t>
      </w:r>
    </w:p>
    <w:p w14:paraId="174B5CDC" w14:textId="77777777" w:rsidR="00161C10" w:rsidRDefault="00CE2C8C">
      <w:pPr>
        <w:pStyle w:val="BodyText"/>
        <w:spacing w:before="118" w:line="276" w:lineRule="auto"/>
        <w:ind w:left="360" w:right="355"/>
        <w:jc w:val="both"/>
      </w:pPr>
      <w:r>
        <w:t xml:space="preserve">In addition, the main financing instrument for international development, the </w:t>
      </w:r>
      <w:proofErr w:type="spellStart"/>
      <w:r>
        <w:t>Neighbourhood</w:t>
      </w:r>
      <w:proofErr w:type="spellEnd"/>
      <w:r>
        <w:t>,</w:t>
      </w:r>
      <w:r>
        <w:rPr>
          <w:spacing w:val="-7"/>
        </w:rPr>
        <w:t xml:space="preserve"> </w:t>
      </w:r>
      <w:r>
        <w:t>Development</w:t>
      </w:r>
      <w:r>
        <w:rPr>
          <w:spacing w:val="-7"/>
        </w:rPr>
        <w:t xml:space="preserve"> </w:t>
      </w:r>
      <w:r>
        <w:t>and</w:t>
      </w:r>
      <w:r>
        <w:rPr>
          <w:spacing w:val="-7"/>
        </w:rPr>
        <w:t xml:space="preserve"> </w:t>
      </w:r>
      <w:r>
        <w:t>International</w:t>
      </w:r>
      <w:r>
        <w:rPr>
          <w:spacing w:val="-5"/>
        </w:rPr>
        <w:t xml:space="preserve"> </w:t>
      </w:r>
      <w:r>
        <w:t>Cooperation</w:t>
      </w:r>
      <w:r>
        <w:rPr>
          <w:spacing w:val="-7"/>
        </w:rPr>
        <w:t xml:space="preserve"> </w:t>
      </w:r>
      <w:r>
        <w:t>Instrument -</w:t>
      </w:r>
      <w:r>
        <w:rPr>
          <w:spacing w:val="-8"/>
        </w:rPr>
        <w:t xml:space="preserve"> </w:t>
      </w:r>
      <w:r>
        <w:t>Global</w:t>
      </w:r>
      <w:r>
        <w:rPr>
          <w:spacing w:val="-5"/>
        </w:rPr>
        <w:t xml:space="preserve"> </w:t>
      </w:r>
      <w:r>
        <w:t xml:space="preserve">Europe (NDICI), merging several former financing instruments, lacks specific goals to advance the UNCRPD, only mentioning disabled people along other </w:t>
      </w:r>
      <w:proofErr w:type="spellStart"/>
      <w:r>
        <w:t>marginalised</w:t>
      </w:r>
      <w:proofErr w:type="spellEnd"/>
      <w:r>
        <w:t xml:space="preserve"> groups. Currently, none of the existing plans, strategies and </w:t>
      </w:r>
      <w:proofErr w:type="spellStart"/>
      <w:r>
        <w:t>programmes</w:t>
      </w:r>
      <w:proofErr w:type="spellEnd"/>
      <w:r>
        <w:t xml:space="preserve"> </w:t>
      </w:r>
      <w:proofErr w:type="spellStart"/>
      <w:r>
        <w:t>prioritise</w:t>
      </w:r>
      <w:proofErr w:type="spellEnd"/>
      <w:r>
        <w:t xml:space="preserve"> the right to independent living and being included in the community.</w:t>
      </w:r>
    </w:p>
    <w:p w14:paraId="41361453" w14:textId="77777777" w:rsidR="00161C10" w:rsidRDefault="00CE2C8C">
      <w:pPr>
        <w:spacing w:before="122"/>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52B69B07" w14:textId="77777777" w:rsidR="00161C10" w:rsidRDefault="00CE2C8C">
      <w:pPr>
        <w:pStyle w:val="BodyText"/>
        <w:spacing w:before="1"/>
        <w:rPr>
          <w:rFonts w:ascii="Arial"/>
          <w:b/>
          <w:i/>
          <w:sz w:val="12"/>
        </w:rPr>
      </w:pPr>
      <w:r>
        <w:rPr>
          <w:rFonts w:ascii="Arial"/>
          <w:b/>
          <w:i/>
          <w:noProof/>
          <w:sz w:val="12"/>
        </w:rPr>
        <mc:AlternateContent>
          <mc:Choice Requires="wpg">
            <w:drawing>
              <wp:anchor distT="0" distB="0" distL="0" distR="0" simplePos="0" relativeHeight="487603712" behindDoc="1" locked="0" layoutInCell="1" allowOverlap="1" wp14:anchorId="7E2786C6" wp14:editId="4D6A4454">
                <wp:simplePos x="0" y="0"/>
                <wp:positionH relativeFrom="page">
                  <wp:posOffset>840028</wp:posOffset>
                </wp:positionH>
                <wp:positionV relativeFrom="paragraph">
                  <wp:posOffset>103516</wp:posOffset>
                </wp:positionV>
                <wp:extent cx="6094730" cy="1026160"/>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730" cy="1026160"/>
                          <a:chOff x="0" y="0"/>
                          <a:chExt cx="6094730" cy="1026160"/>
                        </a:xfrm>
                      </wpg:grpSpPr>
                      <wps:wsp>
                        <wps:cNvPr id="43" name="Graphic 43"/>
                        <wps:cNvSpPr/>
                        <wps:spPr>
                          <a:xfrm>
                            <a:off x="0" y="12"/>
                            <a:ext cx="6094730" cy="1026160"/>
                          </a:xfrm>
                          <a:custGeom>
                            <a:avLst/>
                            <a:gdLst/>
                            <a:ahLst/>
                            <a:cxnLst/>
                            <a:rect l="l" t="t" r="r" b="b"/>
                            <a:pathLst>
                              <a:path w="6094730" h="1026160">
                                <a:moveTo>
                                  <a:pt x="6094158" y="0"/>
                                </a:moveTo>
                                <a:lnTo>
                                  <a:pt x="6088126" y="0"/>
                                </a:lnTo>
                                <a:lnTo>
                                  <a:pt x="6096" y="0"/>
                                </a:lnTo>
                                <a:lnTo>
                                  <a:pt x="0" y="0"/>
                                </a:lnTo>
                                <a:lnTo>
                                  <a:pt x="0" y="6083"/>
                                </a:lnTo>
                                <a:lnTo>
                                  <a:pt x="0" y="1025639"/>
                                </a:lnTo>
                                <a:lnTo>
                                  <a:pt x="6096" y="1025639"/>
                                </a:lnTo>
                                <a:lnTo>
                                  <a:pt x="6096" y="6083"/>
                                </a:lnTo>
                                <a:lnTo>
                                  <a:pt x="6088075" y="6083"/>
                                </a:lnTo>
                                <a:lnTo>
                                  <a:pt x="6088075" y="1025639"/>
                                </a:lnTo>
                                <a:lnTo>
                                  <a:pt x="6094158" y="1025639"/>
                                </a:lnTo>
                                <a:lnTo>
                                  <a:pt x="6094158" y="6083"/>
                                </a:lnTo>
                                <a:lnTo>
                                  <a:pt x="6094158" y="0"/>
                                </a:lnTo>
                                <a:close/>
                              </a:path>
                            </a:pathLst>
                          </a:custGeom>
                          <a:solidFill>
                            <a:srgbClr val="000000"/>
                          </a:solidFill>
                        </wps:spPr>
                        <wps:bodyPr wrap="square" lIns="0" tIns="0" rIns="0" bIns="0" rtlCol="0">
                          <a:prstTxWarp prst="textNoShape">
                            <a:avLst/>
                          </a:prstTxWarp>
                          <a:noAutofit/>
                        </wps:bodyPr>
                      </wps:wsp>
                      <wps:wsp>
                        <wps:cNvPr id="44" name="Textbox 44"/>
                        <wps:cNvSpPr txBox="1"/>
                        <wps:spPr>
                          <a:xfrm>
                            <a:off x="6095" y="6095"/>
                            <a:ext cx="6082030" cy="1019810"/>
                          </a:xfrm>
                          <a:prstGeom prst="rect">
                            <a:avLst/>
                          </a:prstGeom>
                        </wps:spPr>
                        <wps:txbx>
                          <w:txbxContent>
                            <w:p w14:paraId="73937313" w14:textId="77777777" w:rsidR="00161C10" w:rsidRDefault="00CE2C8C">
                              <w:pPr>
                                <w:spacing w:before="18" w:line="276" w:lineRule="auto"/>
                                <w:ind w:left="107" w:right="109"/>
                                <w:jc w:val="both"/>
                                <w:rPr>
                                  <w:rFonts w:ascii="Arial"/>
                                  <w:b/>
                                  <w:sz w:val="24"/>
                                </w:rPr>
                              </w:pPr>
                              <w:r>
                                <w:rPr>
                                  <w:rFonts w:ascii="Arial"/>
                                  <w:b/>
                                  <w:sz w:val="24"/>
                                </w:rPr>
                                <w:t xml:space="preserve">The Committee asks the European Union to develop a strategy on disability inclusion in development aid, with defined timeframes, objectives and indicators, in consultation with disabled people and their representative </w:t>
                              </w:r>
                              <w:proofErr w:type="spellStart"/>
                              <w:r>
                                <w:rPr>
                                  <w:rFonts w:ascii="Arial"/>
                                  <w:b/>
                                  <w:sz w:val="24"/>
                                </w:rPr>
                                <w:t>organisations</w:t>
                              </w:r>
                              <w:proofErr w:type="spellEnd"/>
                              <w:r>
                                <w:rPr>
                                  <w:rFonts w:ascii="Arial"/>
                                  <w:b/>
                                  <w:sz w:val="24"/>
                                </w:rPr>
                                <w:t>, including those in low and middle-income countries. This strategy shall include promotion</w:t>
                              </w:r>
                              <w:r>
                                <w:rPr>
                                  <w:rFonts w:ascii="Arial"/>
                                  <w:b/>
                                  <w:spacing w:val="3"/>
                                  <w:sz w:val="24"/>
                                </w:rPr>
                                <w:t xml:space="preserve"> </w:t>
                              </w:r>
                              <w:r>
                                <w:rPr>
                                  <w:rFonts w:ascii="Arial"/>
                                  <w:b/>
                                  <w:sz w:val="24"/>
                                </w:rPr>
                                <w:t>of</w:t>
                              </w:r>
                              <w:r>
                                <w:rPr>
                                  <w:rFonts w:ascii="Arial"/>
                                  <w:b/>
                                  <w:spacing w:val="3"/>
                                  <w:sz w:val="24"/>
                                </w:rPr>
                                <w:t xml:space="preserve"> </w:t>
                              </w:r>
                              <w:r>
                                <w:rPr>
                                  <w:rFonts w:ascii="Arial"/>
                                  <w:b/>
                                  <w:sz w:val="24"/>
                                </w:rPr>
                                <w:t>the</w:t>
                              </w:r>
                              <w:r>
                                <w:rPr>
                                  <w:rFonts w:ascii="Arial"/>
                                  <w:b/>
                                  <w:spacing w:val="5"/>
                                  <w:sz w:val="24"/>
                                </w:rPr>
                                <w:t xml:space="preserve"> </w:t>
                              </w:r>
                              <w:r>
                                <w:rPr>
                                  <w:rFonts w:ascii="Arial"/>
                                  <w:b/>
                                  <w:sz w:val="24"/>
                                </w:rPr>
                                <w:t>UNCRPD</w:t>
                              </w:r>
                              <w:r>
                                <w:rPr>
                                  <w:rFonts w:ascii="Arial"/>
                                  <w:b/>
                                  <w:spacing w:val="4"/>
                                  <w:sz w:val="24"/>
                                </w:rPr>
                                <w:t xml:space="preserve"> </w:t>
                              </w:r>
                              <w:r>
                                <w:rPr>
                                  <w:rFonts w:ascii="Arial"/>
                                  <w:b/>
                                  <w:sz w:val="24"/>
                                </w:rPr>
                                <w:t>globally,</w:t>
                              </w:r>
                              <w:r>
                                <w:rPr>
                                  <w:rFonts w:ascii="Arial"/>
                                  <w:b/>
                                  <w:spacing w:val="2"/>
                                  <w:sz w:val="24"/>
                                </w:rPr>
                                <w:t xml:space="preserve"> </w:t>
                              </w:r>
                              <w:r>
                                <w:rPr>
                                  <w:rFonts w:ascii="Arial"/>
                                  <w:b/>
                                  <w:sz w:val="24"/>
                                </w:rPr>
                                <w:t>and</w:t>
                              </w:r>
                              <w:r>
                                <w:rPr>
                                  <w:rFonts w:ascii="Arial"/>
                                  <w:b/>
                                  <w:spacing w:val="1"/>
                                  <w:sz w:val="24"/>
                                </w:rPr>
                                <w:t xml:space="preserve"> </w:t>
                              </w:r>
                              <w:r>
                                <w:rPr>
                                  <w:rFonts w:ascii="Arial"/>
                                  <w:b/>
                                  <w:sz w:val="24"/>
                                </w:rPr>
                                <w:t>address</w:t>
                              </w:r>
                              <w:r>
                                <w:rPr>
                                  <w:rFonts w:ascii="Arial"/>
                                  <w:b/>
                                  <w:spacing w:val="3"/>
                                  <w:sz w:val="24"/>
                                </w:rPr>
                                <w:t xml:space="preserve"> </w:t>
                              </w:r>
                              <w:r>
                                <w:rPr>
                                  <w:rFonts w:ascii="Arial"/>
                                  <w:b/>
                                  <w:sz w:val="24"/>
                                </w:rPr>
                                <w:t>the</w:t>
                              </w:r>
                              <w:r>
                                <w:rPr>
                                  <w:rFonts w:ascii="Arial"/>
                                  <w:b/>
                                  <w:spacing w:val="5"/>
                                  <w:sz w:val="24"/>
                                </w:rPr>
                                <w:t xml:space="preserve"> </w:t>
                              </w:r>
                              <w:r>
                                <w:rPr>
                                  <w:rFonts w:ascii="Arial"/>
                                  <w:b/>
                                  <w:sz w:val="24"/>
                                </w:rPr>
                                <w:t>right</w:t>
                              </w:r>
                              <w:r>
                                <w:rPr>
                                  <w:rFonts w:ascii="Arial"/>
                                  <w:b/>
                                  <w:spacing w:val="4"/>
                                  <w:sz w:val="24"/>
                                </w:rPr>
                                <w:t xml:space="preserve"> </w:t>
                              </w:r>
                              <w:r>
                                <w:rPr>
                                  <w:rFonts w:ascii="Arial"/>
                                  <w:b/>
                                  <w:sz w:val="24"/>
                                </w:rPr>
                                <w:t>to</w:t>
                              </w:r>
                              <w:r>
                                <w:rPr>
                                  <w:rFonts w:ascii="Arial"/>
                                  <w:b/>
                                  <w:spacing w:val="3"/>
                                  <w:sz w:val="24"/>
                                </w:rPr>
                                <w:t xml:space="preserve"> </w:t>
                              </w:r>
                              <w:r>
                                <w:rPr>
                                  <w:rFonts w:ascii="Arial"/>
                                  <w:b/>
                                  <w:sz w:val="24"/>
                                </w:rPr>
                                <w:t>live</w:t>
                              </w:r>
                              <w:r>
                                <w:rPr>
                                  <w:rFonts w:ascii="Arial"/>
                                  <w:b/>
                                  <w:spacing w:val="5"/>
                                  <w:sz w:val="24"/>
                                </w:rPr>
                                <w:t xml:space="preserve"> </w:t>
                              </w:r>
                              <w:r>
                                <w:rPr>
                                  <w:rFonts w:ascii="Arial"/>
                                  <w:b/>
                                  <w:sz w:val="24"/>
                                </w:rPr>
                                <w:t>independently</w:t>
                              </w:r>
                              <w:r>
                                <w:rPr>
                                  <w:rFonts w:ascii="Arial"/>
                                  <w:b/>
                                  <w:spacing w:val="3"/>
                                  <w:sz w:val="24"/>
                                </w:rPr>
                                <w:t xml:space="preserve"> </w:t>
                              </w:r>
                              <w:r>
                                <w:rPr>
                                  <w:rFonts w:ascii="Arial"/>
                                  <w:b/>
                                  <w:spacing w:val="-5"/>
                                  <w:sz w:val="24"/>
                                </w:rPr>
                                <w:t>in</w:t>
                              </w:r>
                            </w:p>
                          </w:txbxContent>
                        </wps:txbx>
                        <wps:bodyPr wrap="square" lIns="0" tIns="0" rIns="0" bIns="0" rtlCol="0">
                          <a:noAutofit/>
                        </wps:bodyPr>
                      </wps:wsp>
                    </wpg:wgp>
                  </a:graphicData>
                </a:graphic>
              </wp:anchor>
            </w:drawing>
          </mc:Choice>
          <mc:Fallback>
            <w:pict>
              <v:group w14:anchorId="7E2786C6" id="Group 42" o:spid="_x0000_s1054" style="position:absolute;margin-left:66.15pt;margin-top:8.15pt;width:479.9pt;height:80.8pt;z-index:-15712768;mso-wrap-distance-left:0;mso-wrap-distance-right:0;mso-position-horizontal-relative:page;mso-position-vertical-relative:text" coordsize="60947,10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">
                <v:shape id="Graphic 43" o:spid="_x0000_s1055" style="position:absolute;width:60947;height:10261;visibility:visible;mso-wrap-style:square;v-text-anchor:top" coordsize="6094730,102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" path="m6094158,r-6032,l6096,,,,,6083,,1025639r6096,l6096,6083r6081979,l6088075,1025639r6083,l6094158,6083r,-6083xe" fillcolor="black" stroked="f">
                  <v:path arrowok="t"/>
                </v:shape>
                <v:shape id="Textbox 44" o:spid="_x0000_s1056" type="#_x0000_t202" style="position:absolute;left:60;top:60;width:60821;height:10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3937313" w14:textId="77777777" w:rsidR="00161C10" w:rsidRDefault="00CE2C8C">
                        <w:pPr>
                          <w:spacing w:before="18" w:line="276" w:lineRule="auto"/>
                          <w:ind w:left="107" w:right="109"/>
                          <w:jc w:val="both"/>
                          <w:rPr>
                            <w:rFonts w:ascii="Arial"/>
                            <w:b/>
                            <w:sz w:val="24"/>
                          </w:rPr>
                        </w:pPr>
                        <w:r>
                          <w:rPr>
                            <w:rFonts w:ascii="Arial"/>
                            <w:b/>
                            <w:sz w:val="24"/>
                          </w:rPr>
                          <w:t xml:space="preserve">The Committee asks the European Union to develop a strategy on disability inclusion in development aid, with defined timeframes, objectives and indicators, in consultation with disabled people and their representative </w:t>
                        </w:r>
                        <w:proofErr w:type="spellStart"/>
                        <w:r>
                          <w:rPr>
                            <w:rFonts w:ascii="Arial"/>
                            <w:b/>
                            <w:sz w:val="24"/>
                          </w:rPr>
                          <w:t>organisations</w:t>
                        </w:r>
                        <w:proofErr w:type="spellEnd"/>
                        <w:r>
                          <w:rPr>
                            <w:rFonts w:ascii="Arial"/>
                            <w:b/>
                            <w:sz w:val="24"/>
                          </w:rPr>
                          <w:t>, including those in low and middle-income countries. This strategy shall include promotion</w:t>
                        </w:r>
                        <w:r>
                          <w:rPr>
                            <w:rFonts w:ascii="Arial"/>
                            <w:b/>
                            <w:spacing w:val="3"/>
                            <w:sz w:val="24"/>
                          </w:rPr>
                          <w:t xml:space="preserve"> </w:t>
                        </w:r>
                        <w:r>
                          <w:rPr>
                            <w:rFonts w:ascii="Arial"/>
                            <w:b/>
                            <w:sz w:val="24"/>
                          </w:rPr>
                          <w:t>of</w:t>
                        </w:r>
                        <w:r>
                          <w:rPr>
                            <w:rFonts w:ascii="Arial"/>
                            <w:b/>
                            <w:spacing w:val="3"/>
                            <w:sz w:val="24"/>
                          </w:rPr>
                          <w:t xml:space="preserve"> </w:t>
                        </w:r>
                        <w:r>
                          <w:rPr>
                            <w:rFonts w:ascii="Arial"/>
                            <w:b/>
                            <w:sz w:val="24"/>
                          </w:rPr>
                          <w:t>the</w:t>
                        </w:r>
                        <w:r>
                          <w:rPr>
                            <w:rFonts w:ascii="Arial"/>
                            <w:b/>
                            <w:spacing w:val="5"/>
                            <w:sz w:val="24"/>
                          </w:rPr>
                          <w:t xml:space="preserve"> </w:t>
                        </w:r>
                        <w:r>
                          <w:rPr>
                            <w:rFonts w:ascii="Arial"/>
                            <w:b/>
                            <w:sz w:val="24"/>
                          </w:rPr>
                          <w:t>UNCRPD</w:t>
                        </w:r>
                        <w:r>
                          <w:rPr>
                            <w:rFonts w:ascii="Arial"/>
                            <w:b/>
                            <w:spacing w:val="4"/>
                            <w:sz w:val="24"/>
                          </w:rPr>
                          <w:t xml:space="preserve"> </w:t>
                        </w:r>
                        <w:r>
                          <w:rPr>
                            <w:rFonts w:ascii="Arial"/>
                            <w:b/>
                            <w:sz w:val="24"/>
                          </w:rPr>
                          <w:t>globally,</w:t>
                        </w:r>
                        <w:r>
                          <w:rPr>
                            <w:rFonts w:ascii="Arial"/>
                            <w:b/>
                            <w:spacing w:val="2"/>
                            <w:sz w:val="24"/>
                          </w:rPr>
                          <w:t xml:space="preserve"> </w:t>
                        </w:r>
                        <w:r>
                          <w:rPr>
                            <w:rFonts w:ascii="Arial"/>
                            <w:b/>
                            <w:sz w:val="24"/>
                          </w:rPr>
                          <w:t>and</w:t>
                        </w:r>
                        <w:r>
                          <w:rPr>
                            <w:rFonts w:ascii="Arial"/>
                            <w:b/>
                            <w:spacing w:val="1"/>
                            <w:sz w:val="24"/>
                          </w:rPr>
                          <w:t xml:space="preserve"> </w:t>
                        </w:r>
                        <w:r>
                          <w:rPr>
                            <w:rFonts w:ascii="Arial"/>
                            <w:b/>
                            <w:sz w:val="24"/>
                          </w:rPr>
                          <w:t>address</w:t>
                        </w:r>
                        <w:r>
                          <w:rPr>
                            <w:rFonts w:ascii="Arial"/>
                            <w:b/>
                            <w:spacing w:val="3"/>
                            <w:sz w:val="24"/>
                          </w:rPr>
                          <w:t xml:space="preserve"> </w:t>
                        </w:r>
                        <w:r>
                          <w:rPr>
                            <w:rFonts w:ascii="Arial"/>
                            <w:b/>
                            <w:sz w:val="24"/>
                          </w:rPr>
                          <w:t>the</w:t>
                        </w:r>
                        <w:r>
                          <w:rPr>
                            <w:rFonts w:ascii="Arial"/>
                            <w:b/>
                            <w:spacing w:val="5"/>
                            <w:sz w:val="24"/>
                          </w:rPr>
                          <w:t xml:space="preserve"> </w:t>
                        </w:r>
                        <w:r>
                          <w:rPr>
                            <w:rFonts w:ascii="Arial"/>
                            <w:b/>
                            <w:sz w:val="24"/>
                          </w:rPr>
                          <w:t>right</w:t>
                        </w:r>
                        <w:r>
                          <w:rPr>
                            <w:rFonts w:ascii="Arial"/>
                            <w:b/>
                            <w:spacing w:val="4"/>
                            <w:sz w:val="24"/>
                          </w:rPr>
                          <w:t xml:space="preserve"> </w:t>
                        </w:r>
                        <w:r>
                          <w:rPr>
                            <w:rFonts w:ascii="Arial"/>
                            <w:b/>
                            <w:sz w:val="24"/>
                          </w:rPr>
                          <w:t>to</w:t>
                        </w:r>
                        <w:r>
                          <w:rPr>
                            <w:rFonts w:ascii="Arial"/>
                            <w:b/>
                            <w:spacing w:val="3"/>
                            <w:sz w:val="24"/>
                          </w:rPr>
                          <w:t xml:space="preserve"> </w:t>
                        </w:r>
                        <w:r>
                          <w:rPr>
                            <w:rFonts w:ascii="Arial"/>
                            <w:b/>
                            <w:sz w:val="24"/>
                          </w:rPr>
                          <w:t>live</w:t>
                        </w:r>
                        <w:r>
                          <w:rPr>
                            <w:rFonts w:ascii="Arial"/>
                            <w:b/>
                            <w:spacing w:val="5"/>
                            <w:sz w:val="24"/>
                          </w:rPr>
                          <w:t xml:space="preserve"> </w:t>
                        </w:r>
                        <w:r>
                          <w:rPr>
                            <w:rFonts w:ascii="Arial"/>
                            <w:b/>
                            <w:sz w:val="24"/>
                          </w:rPr>
                          <w:t>independently</w:t>
                        </w:r>
                        <w:r>
                          <w:rPr>
                            <w:rFonts w:ascii="Arial"/>
                            <w:b/>
                            <w:spacing w:val="3"/>
                            <w:sz w:val="24"/>
                          </w:rPr>
                          <w:t xml:space="preserve"> </w:t>
                        </w:r>
                        <w:r>
                          <w:rPr>
                            <w:rFonts w:ascii="Arial"/>
                            <w:b/>
                            <w:spacing w:val="-5"/>
                            <w:sz w:val="24"/>
                          </w:rPr>
                          <w:t>in</w:t>
                        </w:r>
                      </w:p>
                    </w:txbxContent>
                  </v:textbox>
                </v:shape>
                <w10:wrap type="topAndBottom" anchorx="page"/>
              </v:group>
            </w:pict>
          </mc:Fallback>
        </mc:AlternateContent>
      </w:r>
      <w:r>
        <w:rPr>
          <w:rFonts w:ascii="Arial"/>
          <w:b/>
          <w:i/>
          <w:noProof/>
          <w:sz w:val="12"/>
        </w:rPr>
        <mc:AlternateContent>
          <mc:Choice Requires="wps">
            <w:drawing>
              <wp:anchor distT="0" distB="0" distL="0" distR="0" simplePos="0" relativeHeight="487604224" behindDoc="1" locked="0" layoutInCell="1" allowOverlap="1" wp14:anchorId="00CC21A9" wp14:editId="32340D63">
                <wp:simplePos x="0" y="0"/>
                <wp:positionH relativeFrom="page">
                  <wp:posOffset>914704</wp:posOffset>
                </wp:positionH>
                <wp:positionV relativeFrom="paragraph">
                  <wp:posOffset>1305952</wp:posOffset>
                </wp:positionV>
                <wp:extent cx="1829435" cy="762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8CDDD2" id="Graphic 45" o:spid="_x0000_s1026" style="position:absolute;margin-left:1in;margin-top:102.85pt;width:144.05pt;height:.6pt;z-index:-15712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" path="m1829054,l,,,7619r1829054,l1829054,xe" fillcolor="black" stroked="f">
                <v:path arrowok="t"/>
                <w10:wrap type="topAndBottom" anchorx="page"/>
              </v:shape>
            </w:pict>
          </mc:Fallback>
        </mc:AlternateContent>
      </w:r>
    </w:p>
    <w:p w14:paraId="42664471" w14:textId="77777777" w:rsidR="00161C10" w:rsidRDefault="00161C10">
      <w:pPr>
        <w:pStyle w:val="BodyText"/>
        <w:spacing w:before="24"/>
        <w:rPr>
          <w:rFonts w:ascii="Arial"/>
          <w:b/>
          <w:i/>
          <w:sz w:val="20"/>
        </w:rPr>
      </w:pPr>
    </w:p>
    <w:p w14:paraId="685C8847" w14:textId="77777777" w:rsidR="00161C10" w:rsidRDefault="00CE2C8C">
      <w:pPr>
        <w:spacing w:before="93"/>
        <w:ind w:left="360" w:right="377"/>
        <w:rPr>
          <w:sz w:val="20"/>
        </w:rPr>
      </w:pPr>
      <w:bookmarkStart w:id="14" w:name="_bookmark14"/>
      <w:bookmarkEnd w:id="14"/>
      <w:r>
        <w:rPr>
          <w:position w:val="6"/>
          <w:sz w:val="13"/>
        </w:rPr>
        <w:t>15</w:t>
      </w:r>
      <w:r>
        <w:rPr>
          <w:spacing w:val="13"/>
          <w:position w:val="6"/>
          <w:sz w:val="13"/>
        </w:rPr>
        <w:t xml:space="preserve"> </w:t>
      </w:r>
      <w:proofErr w:type="gramStart"/>
      <w:r>
        <w:rPr>
          <w:color w:val="333333"/>
          <w:sz w:val="20"/>
        </w:rPr>
        <w:t>COMMUNICATION</w:t>
      </w:r>
      <w:proofErr w:type="gramEnd"/>
      <w:r>
        <w:rPr>
          <w:color w:val="333333"/>
          <w:spacing w:val="-3"/>
          <w:sz w:val="20"/>
        </w:rPr>
        <w:t xml:space="preserve"> </w:t>
      </w:r>
      <w:r>
        <w:rPr>
          <w:color w:val="333333"/>
          <w:sz w:val="20"/>
        </w:rPr>
        <w:t>FROM</w:t>
      </w:r>
      <w:r>
        <w:rPr>
          <w:color w:val="333333"/>
          <w:spacing w:val="-4"/>
          <w:sz w:val="20"/>
        </w:rPr>
        <w:t xml:space="preserve"> </w:t>
      </w:r>
      <w:r>
        <w:rPr>
          <w:color w:val="333333"/>
          <w:sz w:val="20"/>
        </w:rPr>
        <w:t>THE</w:t>
      </w:r>
      <w:r>
        <w:rPr>
          <w:color w:val="333333"/>
          <w:spacing w:val="-6"/>
          <w:sz w:val="20"/>
        </w:rPr>
        <w:t xml:space="preserve"> </w:t>
      </w:r>
      <w:r>
        <w:rPr>
          <w:color w:val="333333"/>
          <w:sz w:val="20"/>
        </w:rPr>
        <w:t>COMMISSION</w:t>
      </w:r>
      <w:r>
        <w:rPr>
          <w:color w:val="333333"/>
          <w:spacing w:val="-6"/>
          <w:sz w:val="20"/>
        </w:rPr>
        <w:t xml:space="preserve"> </w:t>
      </w:r>
      <w:r>
        <w:rPr>
          <w:color w:val="333333"/>
          <w:sz w:val="20"/>
        </w:rPr>
        <w:t>TO</w:t>
      </w:r>
      <w:r>
        <w:rPr>
          <w:color w:val="333333"/>
          <w:spacing w:val="-5"/>
          <w:sz w:val="20"/>
        </w:rPr>
        <w:t xml:space="preserve"> </w:t>
      </w:r>
      <w:r>
        <w:rPr>
          <w:color w:val="333333"/>
          <w:sz w:val="20"/>
        </w:rPr>
        <w:t>THE</w:t>
      </w:r>
      <w:r>
        <w:rPr>
          <w:color w:val="333333"/>
          <w:spacing w:val="-4"/>
          <w:sz w:val="20"/>
        </w:rPr>
        <w:t xml:space="preserve"> </w:t>
      </w:r>
      <w:r>
        <w:rPr>
          <w:color w:val="333333"/>
          <w:sz w:val="20"/>
        </w:rPr>
        <w:t>EUROPEAN</w:t>
      </w:r>
      <w:r>
        <w:rPr>
          <w:color w:val="333333"/>
          <w:spacing w:val="-6"/>
          <w:sz w:val="20"/>
        </w:rPr>
        <w:t xml:space="preserve"> </w:t>
      </w:r>
      <w:r>
        <w:rPr>
          <w:color w:val="333333"/>
          <w:sz w:val="20"/>
        </w:rPr>
        <w:t>PARLIAMENT,</w:t>
      </w:r>
      <w:r>
        <w:rPr>
          <w:color w:val="333333"/>
          <w:spacing w:val="-6"/>
          <w:sz w:val="20"/>
        </w:rPr>
        <w:t xml:space="preserve"> </w:t>
      </w:r>
      <w:r>
        <w:rPr>
          <w:color w:val="333333"/>
          <w:sz w:val="20"/>
        </w:rPr>
        <w:t>THE</w:t>
      </w:r>
      <w:r>
        <w:rPr>
          <w:color w:val="333333"/>
          <w:spacing w:val="-6"/>
          <w:sz w:val="20"/>
        </w:rPr>
        <w:t xml:space="preserve"> </w:t>
      </w:r>
      <w:r>
        <w:rPr>
          <w:color w:val="333333"/>
          <w:sz w:val="20"/>
        </w:rPr>
        <w:t>COUNCIL, THE</w:t>
      </w:r>
      <w:r>
        <w:rPr>
          <w:color w:val="333333"/>
          <w:spacing w:val="-7"/>
          <w:sz w:val="20"/>
        </w:rPr>
        <w:t xml:space="preserve"> </w:t>
      </w:r>
      <w:r>
        <w:rPr>
          <w:color w:val="333333"/>
          <w:sz w:val="20"/>
        </w:rPr>
        <w:t>EUROPEAN</w:t>
      </w:r>
      <w:r>
        <w:rPr>
          <w:color w:val="333333"/>
          <w:spacing w:val="-7"/>
          <w:sz w:val="20"/>
        </w:rPr>
        <w:t xml:space="preserve"> </w:t>
      </w:r>
      <w:r>
        <w:rPr>
          <w:color w:val="333333"/>
          <w:sz w:val="20"/>
        </w:rPr>
        <w:t>ECONOMIC</w:t>
      </w:r>
      <w:r>
        <w:rPr>
          <w:color w:val="333333"/>
          <w:spacing w:val="-5"/>
          <w:sz w:val="20"/>
        </w:rPr>
        <w:t xml:space="preserve"> </w:t>
      </w:r>
      <w:r>
        <w:rPr>
          <w:color w:val="333333"/>
          <w:sz w:val="20"/>
        </w:rPr>
        <w:t>AND</w:t>
      </w:r>
      <w:r>
        <w:rPr>
          <w:color w:val="333333"/>
          <w:spacing w:val="-4"/>
          <w:sz w:val="20"/>
        </w:rPr>
        <w:t xml:space="preserve"> </w:t>
      </w:r>
      <w:r>
        <w:rPr>
          <w:color w:val="333333"/>
          <w:sz w:val="20"/>
        </w:rPr>
        <w:t>SOCIAL</w:t>
      </w:r>
      <w:r>
        <w:rPr>
          <w:color w:val="333333"/>
          <w:spacing w:val="-7"/>
          <w:sz w:val="20"/>
        </w:rPr>
        <w:t xml:space="preserve"> </w:t>
      </w:r>
      <w:r>
        <w:rPr>
          <w:color w:val="333333"/>
          <w:sz w:val="20"/>
        </w:rPr>
        <w:t>COMMITTEE</w:t>
      </w:r>
      <w:r>
        <w:rPr>
          <w:color w:val="333333"/>
          <w:spacing w:val="-5"/>
          <w:sz w:val="20"/>
        </w:rPr>
        <w:t xml:space="preserve"> </w:t>
      </w:r>
      <w:r>
        <w:rPr>
          <w:color w:val="333333"/>
          <w:sz w:val="20"/>
        </w:rPr>
        <w:t>AND</w:t>
      </w:r>
      <w:r>
        <w:rPr>
          <w:color w:val="333333"/>
          <w:spacing w:val="-6"/>
          <w:sz w:val="20"/>
        </w:rPr>
        <w:t xml:space="preserve"> </w:t>
      </w:r>
      <w:r>
        <w:rPr>
          <w:color w:val="333333"/>
          <w:sz w:val="20"/>
        </w:rPr>
        <w:t>THE</w:t>
      </w:r>
      <w:r>
        <w:rPr>
          <w:color w:val="333333"/>
          <w:spacing w:val="-7"/>
          <w:sz w:val="20"/>
        </w:rPr>
        <w:t xml:space="preserve"> </w:t>
      </w:r>
      <w:r>
        <w:rPr>
          <w:color w:val="333333"/>
          <w:sz w:val="20"/>
        </w:rPr>
        <w:t>COMMITTEE</w:t>
      </w:r>
      <w:r>
        <w:rPr>
          <w:color w:val="333333"/>
          <w:spacing w:val="-7"/>
          <w:sz w:val="20"/>
        </w:rPr>
        <w:t xml:space="preserve"> </w:t>
      </w:r>
      <w:r>
        <w:rPr>
          <w:color w:val="333333"/>
          <w:sz w:val="20"/>
        </w:rPr>
        <w:t>OF</w:t>
      </w:r>
      <w:r>
        <w:rPr>
          <w:color w:val="333333"/>
          <w:spacing w:val="-6"/>
          <w:sz w:val="20"/>
        </w:rPr>
        <w:t xml:space="preserve"> </w:t>
      </w:r>
      <w:r>
        <w:rPr>
          <w:color w:val="333333"/>
          <w:sz w:val="20"/>
        </w:rPr>
        <w:t>THE</w:t>
      </w:r>
      <w:r>
        <w:rPr>
          <w:color w:val="333333"/>
          <w:spacing w:val="-6"/>
          <w:sz w:val="20"/>
        </w:rPr>
        <w:t xml:space="preserve"> </w:t>
      </w:r>
      <w:r>
        <w:rPr>
          <w:color w:val="333333"/>
          <w:spacing w:val="-2"/>
          <w:sz w:val="20"/>
        </w:rPr>
        <w:t>REGIONS</w:t>
      </w:r>
    </w:p>
    <w:p w14:paraId="40E4F4D8" w14:textId="77777777" w:rsidR="00161C10" w:rsidRDefault="00CE2C8C">
      <w:pPr>
        <w:ind w:left="360"/>
        <w:rPr>
          <w:sz w:val="20"/>
        </w:rPr>
      </w:pPr>
      <w:r>
        <w:rPr>
          <w:color w:val="333333"/>
          <w:sz w:val="20"/>
        </w:rPr>
        <w:t>Union</w:t>
      </w:r>
      <w:r>
        <w:rPr>
          <w:color w:val="333333"/>
          <w:spacing w:val="-4"/>
          <w:sz w:val="20"/>
        </w:rPr>
        <w:t xml:space="preserve"> </w:t>
      </w:r>
      <w:r>
        <w:rPr>
          <w:color w:val="333333"/>
          <w:sz w:val="20"/>
        </w:rPr>
        <w:t>of</w:t>
      </w:r>
      <w:r>
        <w:rPr>
          <w:color w:val="333333"/>
          <w:spacing w:val="-3"/>
          <w:sz w:val="20"/>
        </w:rPr>
        <w:t xml:space="preserve"> </w:t>
      </w:r>
      <w:r>
        <w:rPr>
          <w:color w:val="333333"/>
          <w:sz w:val="20"/>
        </w:rPr>
        <w:t>Equality:</w:t>
      </w:r>
      <w:r>
        <w:rPr>
          <w:color w:val="333333"/>
          <w:spacing w:val="-3"/>
          <w:sz w:val="20"/>
        </w:rPr>
        <w:t xml:space="preserve"> </w:t>
      </w:r>
      <w:r>
        <w:rPr>
          <w:color w:val="333333"/>
          <w:sz w:val="20"/>
        </w:rPr>
        <w:t>Strategy</w:t>
      </w:r>
      <w:r>
        <w:rPr>
          <w:color w:val="333333"/>
          <w:spacing w:val="-2"/>
          <w:sz w:val="20"/>
        </w:rPr>
        <w:t xml:space="preserve"> </w:t>
      </w:r>
      <w:r>
        <w:rPr>
          <w:color w:val="333333"/>
          <w:sz w:val="20"/>
        </w:rPr>
        <w:t>for</w:t>
      </w:r>
      <w:r>
        <w:rPr>
          <w:color w:val="333333"/>
          <w:spacing w:val="-4"/>
          <w:sz w:val="20"/>
        </w:rPr>
        <w:t xml:space="preserve"> </w:t>
      </w:r>
      <w:r>
        <w:rPr>
          <w:color w:val="333333"/>
          <w:sz w:val="20"/>
        </w:rPr>
        <w:t>the</w:t>
      </w:r>
      <w:r>
        <w:rPr>
          <w:color w:val="333333"/>
          <w:spacing w:val="-3"/>
          <w:sz w:val="20"/>
        </w:rPr>
        <w:t xml:space="preserve"> </w:t>
      </w:r>
      <w:r>
        <w:rPr>
          <w:color w:val="333333"/>
          <w:sz w:val="20"/>
        </w:rPr>
        <w:t>Rights</w:t>
      </w:r>
      <w:r>
        <w:rPr>
          <w:color w:val="333333"/>
          <w:spacing w:val="-3"/>
          <w:sz w:val="20"/>
        </w:rPr>
        <w:t xml:space="preserve"> </w:t>
      </w:r>
      <w:r>
        <w:rPr>
          <w:color w:val="333333"/>
          <w:sz w:val="20"/>
        </w:rPr>
        <w:t>of</w:t>
      </w:r>
      <w:r>
        <w:rPr>
          <w:color w:val="333333"/>
          <w:spacing w:val="-3"/>
          <w:sz w:val="20"/>
        </w:rPr>
        <w:t xml:space="preserve"> </w:t>
      </w:r>
      <w:r>
        <w:rPr>
          <w:color w:val="333333"/>
          <w:sz w:val="20"/>
        </w:rPr>
        <w:t>Persons</w:t>
      </w:r>
      <w:r>
        <w:rPr>
          <w:color w:val="333333"/>
          <w:spacing w:val="-3"/>
          <w:sz w:val="20"/>
        </w:rPr>
        <w:t xml:space="preserve"> </w:t>
      </w:r>
      <w:r>
        <w:rPr>
          <w:color w:val="333333"/>
          <w:sz w:val="20"/>
        </w:rPr>
        <w:t>with</w:t>
      </w:r>
      <w:r>
        <w:rPr>
          <w:color w:val="333333"/>
          <w:spacing w:val="-5"/>
          <w:sz w:val="20"/>
        </w:rPr>
        <w:t xml:space="preserve"> </w:t>
      </w:r>
      <w:r>
        <w:rPr>
          <w:color w:val="333333"/>
          <w:sz w:val="20"/>
        </w:rPr>
        <w:t>Disabilities</w:t>
      </w:r>
      <w:r>
        <w:rPr>
          <w:color w:val="333333"/>
          <w:spacing w:val="-3"/>
          <w:sz w:val="20"/>
        </w:rPr>
        <w:t xml:space="preserve"> </w:t>
      </w:r>
      <w:r>
        <w:rPr>
          <w:color w:val="333333"/>
          <w:sz w:val="20"/>
        </w:rPr>
        <w:t>2021-2030.</w:t>
      </w:r>
      <w:r>
        <w:rPr>
          <w:color w:val="333333"/>
          <w:spacing w:val="-4"/>
          <w:sz w:val="20"/>
        </w:rPr>
        <w:t xml:space="preserve"> </w:t>
      </w:r>
      <w:r>
        <w:rPr>
          <w:color w:val="333333"/>
          <w:sz w:val="20"/>
        </w:rPr>
        <w:t>COM/2021/101</w:t>
      </w:r>
      <w:r>
        <w:rPr>
          <w:color w:val="333333"/>
          <w:spacing w:val="-4"/>
          <w:sz w:val="20"/>
        </w:rPr>
        <w:t xml:space="preserve"> </w:t>
      </w:r>
      <w:r>
        <w:rPr>
          <w:color w:val="333333"/>
          <w:sz w:val="20"/>
        </w:rPr>
        <w:t xml:space="preserve">final, available at </w:t>
      </w:r>
      <w:hyperlink r:id="rId115">
        <w:r>
          <w:rPr>
            <w:color w:val="1154CC"/>
            <w:sz w:val="20"/>
            <w:u w:val="single" w:color="1154CC"/>
          </w:rPr>
          <w:t>EUR-Lex - 52021DC0101 - EN - EUR-Lex</w:t>
        </w:r>
      </w:hyperlink>
    </w:p>
    <w:p w14:paraId="2A91CF46" w14:textId="77777777" w:rsidR="00161C10" w:rsidRDefault="00161C10">
      <w:pPr>
        <w:rPr>
          <w:sz w:val="20"/>
        </w:rPr>
        <w:sectPr w:rsidR="00161C10">
          <w:pgSz w:w="12240" w:h="15840"/>
          <w:pgMar w:top="1360" w:right="1080" w:bottom="1460" w:left="1080" w:header="0" w:footer="1274" w:gutter="0"/>
          <w:cols w:space="720"/>
        </w:sectPr>
      </w:pPr>
    </w:p>
    <w:p w14:paraId="36C96AE0" w14:textId="77777777" w:rsidR="00161C10" w:rsidRDefault="00CE2C8C">
      <w:pPr>
        <w:pStyle w:val="BodyText"/>
        <w:ind w:left="242"/>
        <w:rPr>
          <w:sz w:val="20"/>
        </w:rPr>
      </w:pPr>
      <w:r>
        <w:rPr>
          <w:noProof/>
          <w:sz w:val="20"/>
        </w:rPr>
        <w:lastRenderedPageBreak/>
        <mc:AlternateContent>
          <mc:Choice Requires="wpg">
            <w:drawing>
              <wp:inline distT="0" distB="0" distL="0" distR="0" wp14:anchorId="11F26343" wp14:editId="1AD6CD95">
                <wp:extent cx="6094730" cy="421005"/>
                <wp:effectExtent l="0" t="0" r="0" b="762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730" cy="421005"/>
                          <a:chOff x="0" y="0"/>
                          <a:chExt cx="6094730" cy="421005"/>
                        </a:xfrm>
                      </wpg:grpSpPr>
                      <wps:wsp>
                        <wps:cNvPr id="47" name="Graphic 47"/>
                        <wps:cNvSpPr/>
                        <wps:spPr>
                          <a:xfrm>
                            <a:off x="0" y="0"/>
                            <a:ext cx="6094730" cy="421005"/>
                          </a:xfrm>
                          <a:custGeom>
                            <a:avLst/>
                            <a:gdLst/>
                            <a:ahLst/>
                            <a:cxnLst/>
                            <a:rect l="l" t="t" r="r" b="b"/>
                            <a:pathLst>
                              <a:path w="6094730" h="421005">
                                <a:moveTo>
                                  <a:pt x="6094158" y="0"/>
                                </a:moveTo>
                                <a:lnTo>
                                  <a:pt x="6088075" y="0"/>
                                </a:lnTo>
                                <a:lnTo>
                                  <a:pt x="6088075" y="201472"/>
                                </a:lnTo>
                                <a:lnTo>
                                  <a:pt x="6088075" y="414832"/>
                                </a:lnTo>
                                <a:lnTo>
                                  <a:pt x="6096" y="414832"/>
                                </a:lnTo>
                                <a:lnTo>
                                  <a:pt x="6096" y="201472"/>
                                </a:lnTo>
                                <a:lnTo>
                                  <a:pt x="6096" y="0"/>
                                </a:lnTo>
                                <a:lnTo>
                                  <a:pt x="0" y="0"/>
                                </a:lnTo>
                                <a:lnTo>
                                  <a:pt x="0" y="201472"/>
                                </a:lnTo>
                                <a:lnTo>
                                  <a:pt x="0" y="414832"/>
                                </a:lnTo>
                                <a:lnTo>
                                  <a:pt x="0" y="420928"/>
                                </a:lnTo>
                                <a:lnTo>
                                  <a:pt x="6096" y="420928"/>
                                </a:lnTo>
                                <a:lnTo>
                                  <a:pt x="6088075" y="420928"/>
                                </a:lnTo>
                                <a:lnTo>
                                  <a:pt x="6094158" y="420928"/>
                                </a:lnTo>
                                <a:lnTo>
                                  <a:pt x="6094158" y="414832"/>
                                </a:lnTo>
                                <a:lnTo>
                                  <a:pt x="6094158" y="201472"/>
                                </a:lnTo>
                                <a:lnTo>
                                  <a:pt x="6094158" y="0"/>
                                </a:lnTo>
                                <a:close/>
                              </a:path>
                            </a:pathLst>
                          </a:custGeom>
                          <a:solidFill>
                            <a:srgbClr val="000000"/>
                          </a:solidFill>
                        </wps:spPr>
                        <wps:bodyPr wrap="square" lIns="0" tIns="0" rIns="0" bIns="0" rtlCol="0">
                          <a:prstTxWarp prst="textNoShape">
                            <a:avLst/>
                          </a:prstTxWarp>
                          <a:noAutofit/>
                        </wps:bodyPr>
                      </wps:wsp>
                      <wps:wsp>
                        <wps:cNvPr id="48" name="Textbox 48"/>
                        <wps:cNvSpPr txBox="1"/>
                        <wps:spPr>
                          <a:xfrm>
                            <a:off x="6095" y="0"/>
                            <a:ext cx="6082030" cy="415290"/>
                          </a:xfrm>
                          <a:prstGeom prst="rect">
                            <a:avLst/>
                          </a:prstGeom>
                        </wps:spPr>
                        <wps:txbx>
                          <w:txbxContent>
                            <w:p w14:paraId="313F22EF" w14:textId="77777777" w:rsidR="00161C10" w:rsidRDefault="00CE2C8C">
                              <w:pPr>
                                <w:tabs>
                                  <w:tab w:val="left" w:pos="671"/>
                                  <w:tab w:val="left" w:pos="2221"/>
                                  <w:tab w:val="left" w:pos="3477"/>
                                  <w:tab w:val="left" w:pos="3892"/>
                                  <w:tab w:val="left" w:pos="6150"/>
                                  <w:tab w:val="left" w:pos="7313"/>
                                  <w:tab w:val="left" w:pos="7944"/>
                                  <w:tab w:val="left" w:pos="9041"/>
                                </w:tabs>
                                <w:spacing w:before="1" w:line="276" w:lineRule="auto"/>
                                <w:ind w:left="107" w:right="107"/>
                                <w:rPr>
                                  <w:rFonts w:ascii="Arial"/>
                                  <w:b/>
                                  <w:sz w:val="24"/>
                                </w:rPr>
                              </w:pPr>
                              <w:r>
                                <w:rPr>
                                  <w:rFonts w:ascii="Arial"/>
                                  <w:b/>
                                  <w:spacing w:val="-4"/>
                                  <w:sz w:val="24"/>
                                </w:rPr>
                                <w:t>the</w:t>
                              </w:r>
                              <w:r>
                                <w:rPr>
                                  <w:rFonts w:ascii="Arial"/>
                                  <w:b/>
                                  <w:sz w:val="24"/>
                                </w:rPr>
                                <w:tab/>
                              </w:r>
                              <w:r>
                                <w:rPr>
                                  <w:rFonts w:ascii="Arial"/>
                                  <w:b/>
                                  <w:spacing w:val="-2"/>
                                  <w:sz w:val="24"/>
                                </w:rPr>
                                <w:t>community,</w:t>
                              </w:r>
                              <w:r>
                                <w:rPr>
                                  <w:rFonts w:ascii="Arial"/>
                                  <w:b/>
                                  <w:sz w:val="24"/>
                                </w:rPr>
                                <w:tab/>
                              </w:r>
                              <w:r>
                                <w:rPr>
                                  <w:rFonts w:ascii="Arial"/>
                                  <w:b/>
                                  <w:spacing w:val="-2"/>
                                  <w:sz w:val="24"/>
                                </w:rPr>
                                <w:t>investing</w:t>
                              </w:r>
                              <w:r>
                                <w:rPr>
                                  <w:rFonts w:ascii="Arial"/>
                                  <w:b/>
                                  <w:sz w:val="24"/>
                                </w:rPr>
                                <w:tab/>
                              </w:r>
                              <w:r>
                                <w:rPr>
                                  <w:rFonts w:ascii="Arial"/>
                                  <w:b/>
                                  <w:spacing w:val="-6"/>
                                  <w:sz w:val="24"/>
                                </w:rPr>
                                <w:t>in</w:t>
                              </w:r>
                              <w:r>
                                <w:rPr>
                                  <w:rFonts w:ascii="Arial"/>
                                  <w:b/>
                                  <w:sz w:val="24"/>
                                </w:rPr>
                                <w:tab/>
                              </w:r>
                              <w:r>
                                <w:rPr>
                                  <w:rFonts w:ascii="Arial"/>
                                  <w:b/>
                                  <w:spacing w:val="-2"/>
                                  <w:sz w:val="24"/>
                                </w:rPr>
                                <w:t>community-based</w:t>
                              </w:r>
                              <w:r>
                                <w:rPr>
                                  <w:rFonts w:ascii="Arial"/>
                                  <w:b/>
                                  <w:sz w:val="24"/>
                                </w:rPr>
                                <w:tab/>
                              </w:r>
                              <w:r>
                                <w:rPr>
                                  <w:rFonts w:ascii="Arial"/>
                                  <w:b/>
                                  <w:spacing w:val="-2"/>
                                  <w:sz w:val="24"/>
                                </w:rPr>
                                <w:t>services</w:t>
                              </w:r>
                              <w:r>
                                <w:rPr>
                                  <w:rFonts w:ascii="Arial"/>
                                  <w:b/>
                                  <w:sz w:val="24"/>
                                </w:rPr>
                                <w:tab/>
                              </w:r>
                              <w:r>
                                <w:rPr>
                                  <w:rFonts w:ascii="Arial"/>
                                  <w:b/>
                                  <w:spacing w:val="-4"/>
                                  <w:sz w:val="24"/>
                                </w:rPr>
                                <w:t>and</w:t>
                              </w:r>
                              <w:r>
                                <w:rPr>
                                  <w:rFonts w:ascii="Arial"/>
                                  <w:b/>
                                  <w:sz w:val="24"/>
                                </w:rPr>
                                <w:tab/>
                              </w:r>
                              <w:r>
                                <w:rPr>
                                  <w:rFonts w:ascii="Arial"/>
                                  <w:b/>
                                  <w:spacing w:val="-2"/>
                                  <w:sz w:val="24"/>
                                </w:rPr>
                                <w:t>support</w:t>
                              </w:r>
                              <w:r>
                                <w:rPr>
                                  <w:rFonts w:ascii="Arial"/>
                                  <w:b/>
                                  <w:sz w:val="24"/>
                                </w:rPr>
                                <w:tab/>
                              </w:r>
                              <w:r>
                                <w:rPr>
                                  <w:rFonts w:ascii="Arial"/>
                                  <w:b/>
                                  <w:spacing w:val="-4"/>
                                  <w:sz w:val="24"/>
                                </w:rPr>
                                <w:t xml:space="preserve">and </w:t>
                              </w:r>
                              <w:r>
                                <w:rPr>
                                  <w:rFonts w:ascii="Arial"/>
                                  <w:b/>
                                  <w:sz w:val="24"/>
                                </w:rPr>
                                <w:t>promoting the development of Centers for Independent Living.</w:t>
                              </w:r>
                            </w:p>
                          </w:txbxContent>
                        </wps:txbx>
                        <wps:bodyPr wrap="square" lIns="0" tIns="0" rIns="0" bIns="0" rtlCol="0">
                          <a:noAutofit/>
                        </wps:bodyPr>
                      </wps:wsp>
                    </wpg:wgp>
                  </a:graphicData>
                </a:graphic>
              </wp:inline>
            </w:drawing>
          </mc:Choice>
          <mc:Fallback>
            <w:pict>
              <v:group w14:anchorId="11F26343" id="Group 46" o:spid="_x0000_s1057" style="width:479.9pt;height:33.15pt;mso-position-horizontal-relative:char;mso-position-vertical-relative:line" coordsize="60947,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">
                <v:shape id="Graphic 47" o:spid="_x0000_s1058" style="position:absolute;width:60947;height:4210;visibility:visible;mso-wrap-style:square;v-text-anchor:top" coordsize="609473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" path="m6094158,r-6083,l6088075,201472r,213360l6096,414832r,-213360l6096,,,,,201472,,414832r,6096l6096,420928r6081979,l6094158,420928r,-6096l6094158,201472,6094158,xe" fillcolor="black" stroked="f">
                  <v:path arrowok="t"/>
                </v:shape>
                <v:shape id="Textbox 48" o:spid="_x0000_s1059" type="#_x0000_t202" style="position:absolute;left:60;width:60821;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13F22EF" w14:textId="77777777" w:rsidR="00161C10" w:rsidRDefault="00CE2C8C">
                        <w:pPr>
                          <w:tabs>
                            <w:tab w:val="left" w:pos="671"/>
                            <w:tab w:val="left" w:pos="2221"/>
                            <w:tab w:val="left" w:pos="3477"/>
                            <w:tab w:val="left" w:pos="3892"/>
                            <w:tab w:val="left" w:pos="6150"/>
                            <w:tab w:val="left" w:pos="7313"/>
                            <w:tab w:val="left" w:pos="7944"/>
                            <w:tab w:val="left" w:pos="9041"/>
                          </w:tabs>
                          <w:spacing w:before="1" w:line="276" w:lineRule="auto"/>
                          <w:ind w:left="107" w:right="107"/>
                          <w:rPr>
                            <w:rFonts w:ascii="Arial"/>
                            <w:b/>
                            <w:sz w:val="24"/>
                          </w:rPr>
                        </w:pPr>
                        <w:r>
                          <w:rPr>
                            <w:rFonts w:ascii="Arial"/>
                            <w:b/>
                            <w:spacing w:val="-4"/>
                            <w:sz w:val="24"/>
                          </w:rPr>
                          <w:t>the</w:t>
                        </w:r>
                        <w:r>
                          <w:rPr>
                            <w:rFonts w:ascii="Arial"/>
                            <w:b/>
                            <w:sz w:val="24"/>
                          </w:rPr>
                          <w:tab/>
                        </w:r>
                        <w:r>
                          <w:rPr>
                            <w:rFonts w:ascii="Arial"/>
                            <w:b/>
                            <w:spacing w:val="-2"/>
                            <w:sz w:val="24"/>
                          </w:rPr>
                          <w:t>community,</w:t>
                        </w:r>
                        <w:r>
                          <w:rPr>
                            <w:rFonts w:ascii="Arial"/>
                            <w:b/>
                            <w:sz w:val="24"/>
                          </w:rPr>
                          <w:tab/>
                        </w:r>
                        <w:r>
                          <w:rPr>
                            <w:rFonts w:ascii="Arial"/>
                            <w:b/>
                            <w:spacing w:val="-2"/>
                            <w:sz w:val="24"/>
                          </w:rPr>
                          <w:t>investing</w:t>
                        </w:r>
                        <w:r>
                          <w:rPr>
                            <w:rFonts w:ascii="Arial"/>
                            <w:b/>
                            <w:sz w:val="24"/>
                          </w:rPr>
                          <w:tab/>
                        </w:r>
                        <w:r>
                          <w:rPr>
                            <w:rFonts w:ascii="Arial"/>
                            <w:b/>
                            <w:spacing w:val="-6"/>
                            <w:sz w:val="24"/>
                          </w:rPr>
                          <w:t>in</w:t>
                        </w:r>
                        <w:r>
                          <w:rPr>
                            <w:rFonts w:ascii="Arial"/>
                            <w:b/>
                            <w:sz w:val="24"/>
                          </w:rPr>
                          <w:tab/>
                        </w:r>
                        <w:r>
                          <w:rPr>
                            <w:rFonts w:ascii="Arial"/>
                            <w:b/>
                            <w:spacing w:val="-2"/>
                            <w:sz w:val="24"/>
                          </w:rPr>
                          <w:t>community-based</w:t>
                        </w:r>
                        <w:r>
                          <w:rPr>
                            <w:rFonts w:ascii="Arial"/>
                            <w:b/>
                            <w:sz w:val="24"/>
                          </w:rPr>
                          <w:tab/>
                        </w:r>
                        <w:r>
                          <w:rPr>
                            <w:rFonts w:ascii="Arial"/>
                            <w:b/>
                            <w:spacing w:val="-2"/>
                            <w:sz w:val="24"/>
                          </w:rPr>
                          <w:t>services</w:t>
                        </w:r>
                        <w:r>
                          <w:rPr>
                            <w:rFonts w:ascii="Arial"/>
                            <w:b/>
                            <w:sz w:val="24"/>
                          </w:rPr>
                          <w:tab/>
                        </w:r>
                        <w:r>
                          <w:rPr>
                            <w:rFonts w:ascii="Arial"/>
                            <w:b/>
                            <w:spacing w:val="-4"/>
                            <w:sz w:val="24"/>
                          </w:rPr>
                          <w:t>and</w:t>
                        </w:r>
                        <w:r>
                          <w:rPr>
                            <w:rFonts w:ascii="Arial"/>
                            <w:b/>
                            <w:sz w:val="24"/>
                          </w:rPr>
                          <w:tab/>
                        </w:r>
                        <w:r>
                          <w:rPr>
                            <w:rFonts w:ascii="Arial"/>
                            <w:b/>
                            <w:spacing w:val="-2"/>
                            <w:sz w:val="24"/>
                          </w:rPr>
                          <w:t>support</w:t>
                        </w:r>
                        <w:r>
                          <w:rPr>
                            <w:rFonts w:ascii="Arial"/>
                            <w:b/>
                            <w:sz w:val="24"/>
                          </w:rPr>
                          <w:tab/>
                        </w:r>
                        <w:r>
                          <w:rPr>
                            <w:rFonts w:ascii="Arial"/>
                            <w:b/>
                            <w:spacing w:val="-4"/>
                            <w:sz w:val="24"/>
                          </w:rPr>
                          <w:t xml:space="preserve">and </w:t>
                        </w:r>
                        <w:r>
                          <w:rPr>
                            <w:rFonts w:ascii="Arial"/>
                            <w:b/>
                            <w:sz w:val="24"/>
                          </w:rPr>
                          <w:t>promoting the development of Centers for Independent Living.</w:t>
                        </w:r>
                      </w:p>
                    </w:txbxContent>
                  </v:textbox>
                </v:shape>
                <w10:anchorlock/>
              </v:group>
            </w:pict>
          </mc:Fallback>
        </mc:AlternateContent>
      </w:r>
    </w:p>
    <w:p w14:paraId="6815E0EC" w14:textId="77777777" w:rsidR="00161C10" w:rsidRDefault="00CE2C8C">
      <w:pPr>
        <w:spacing w:before="85" w:line="276" w:lineRule="auto"/>
        <w:ind w:left="360" w:right="354"/>
        <w:jc w:val="both"/>
        <w:rPr>
          <w:rFonts w:ascii="Arial" w:hAnsi="Arial"/>
          <w:i/>
          <w:sz w:val="24"/>
        </w:rPr>
      </w:pPr>
      <w:r>
        <w:rPr>
          <w:rFonts w:ascii="Arial" w:hAnsi="Arial"/>
          <w:i/>
          <w:sz w:val="24"/>
        </w:rPr>
        <w:t>The European Union states that “in the context of the EU’s enlargement policy, the Commission</w:t>
      </w:r>
      <w:r>
        <w:rPr>
          <w:rFonts w:ascii="Arial" w:hAnsi="Arial"/>
          <w:i/>
          <w:spacing w:val="-3"/>
          <w:sz w:val="24"/>
        </w:rPr>
        <w:t xml:space="preserve"> </w:t>
      </w:r>
      <w:r>
        <w:rPr>
          <w:rFonts w:ascii="Arial" w:hAnsi="Arial"/>
          <w:i/>
          <w:sz w:val="24"/>
        </w:rPr>
        <w:t>reviews</w:t>
      </w:r>
      <w:r>
        <w:rPr>
          <w:rFonts w:ascii="Arial" w:hAnsi="Arial"/>
          <w:i/>
          <w:spacing w:val="-3"/>
          <w:sz w:val="24"/>
        </w:rPr>
        <w:t xml:space="preserve"> </w:t>
      </w:r>
      <w:r>
        <w:rPr>
          <w:rFonts w:ascii="Arial" w:hAnsi="Arial"/>
          <w:i/>
          <w:sz w:val="24"/>
        </w:rPr>
        <w:t>the</w:t>
      </w:r>
      <w:r>
        <w:rPr>
          <w:rFonts w:ascii="Arial" w:hAnsi="Arial"/>
          <w:i/>
          <w:spacing w:val="-3"/>
          <w:sz w:val="24"/>
        </w:rPr>
        <w:t xml:space="preserve"> </w:t>
      </w:r>
      <w:r>
        <w:rPr>
          <w:rFonts w:ascii="Arial" w:hAnsi="Arial"/>
          <w:i/>
          <w:sz w:val="24"/>
        </w:rPr>
        <w:t>state</w:t>
      </w:r>
      <w:r>
        <w:rPr>
          <w:rFonts w:ascii="Arial" w:hAnsi="Arial"/>
          <w:i/>
          <w:spacing w:val="-4"/>
          <w:sz w:val="24"/>
        </w:rPr>
        <w:t xml:space="preserve"> </w:t>
      </w:r>
      <w:r>
        <w:rPr>
          <w:rFonts w:ascii="Arial" w:hAnsi="Arial"/>
          <w:i/>
          <w:sz w:val="24"/>
        </w:rPr>
        <w:t>of</w:t>
      </w:r>
      <w:r>
        <w:rPr>
          <w:rFonts w:ascii="Arial" w:hAnsi="Arial"/>
          <w:i/>
          <w:spacing w:val="-5"/>
          <w:sz w:val="24"/>
        </w:rPr>
        <w:t xml:space="preserve"> </w:t>
      </w:r>
      <w:r>
        <w:rPr>
          <w:rFonts w:ascii="Arial" w:hAnsi="Arial"/>
          <w:i/>
          <w:sz w:val="24"/>
        </w:rPr>
        <w:t>play</w:t>
      </w:r>
      <w:r>
        <w:rPr>
          <w:rFonts w:ascii="Arial" w:hAnsi="Arial"/>
          <w:i/>
          <w:spacing w:val="-5"/>
          <w:sz w:val="24"/>
        </w:rPr>
        <w:t xml:space="preserve"> </w:t>
      </w:r>
      <w:r>
        <w:rPr>
          <w:rFonts w:ascii="Arial" w:hAnsi="Arial"/>
          <w:i/>
          <w:sz w:val="24"/>
        </w:rPr>
        <w:t>and</w:t>
      </w:r>
      <w:r>
        <w:rPr>
          <w:rFonts w:ascii="Arial" w:hAnsi="Arial"/>
          <w:i/>
          <w:spacing w:val="-3"/>
          <w:sz w:val="24"/>
        </w:rPr>
        <w:t xml:space="preserve"> </w:t>
      </w:r>
      <w:r>
        <w:rPr>
          <w:rFonts w:ascii="Arial" w:hAnsi="Arial"/>
          <w:i/>
          <w:sz w:val="24"/>
        </w:rPr>
        <w:t>progress</w:t>
      </w:r>
      <w:r>
        <w:rPr>
          <w:rFonts w:ascii="Arial" w:hAnsi="Arial"/>
          <w:i/>
          <w:spacing w:val="-3"/>
          <w:sz w:val="24"/>
        </w:rPr>
        <w:t xml:space="preserve"> </w:t>
      </w:r>
      <w:r>
        <w:rPr>
          <w:rFonts w:ascii="Arial" w:hAnsi="Arial"/>
          <w:i/>
          <w:sz w:val="24"/>
        </w:rPr>
        <w:t>made</w:t>
      </w:r>
      <w:r>
        <w:rPr>
          <w:rFonts w:ascii="Arial" w:hAnsi="Arial"/>
          <w:i/>
          <w:spacing w:val="-5"/>
          <w:sz w:val="24"/>
        </w:rPr>
        <w:t xml:space="preserve"> </w:t>
      </w:r>
      <w:r>
        <w:rPr>
          <w:rFonts w:ascii="Arial" w:hAnsi="Arial"/>
          <w:i/>
          <w:sz w:val="24"/>
        </w:rPr>
        <w:t>by</w:t>
      </w:r>
      <w:r>
        <w:rPr>
          <w:rFonts w:ascii="Arial" w:hAnsi="Arial"/>
          <w:i/>
          <w:spacing w:val="-3"/>
          <w:sz w:val="24"/>
        </w:rPr>
        <w:t xml:space="preserve"> </w:t>
      </w:r>
      <w:r>
        <w:rPr>
          <w:rFonts w:ascii="Arial" w:hAnsi="Arial"/>
          <w:i/>
          <w:sz w:val="24"/>
        </w:rPr>
        <w:t>partner</w:t>
      </w:r>
      <w:r>
        <w:rPr>
          <w:rFonts w:ascii="Arial" w:hAnsi="Arial"/>
          <w:i/>
          <w:spacing w:val="-3"/>
          <w:sz w:val="24"/>
        </w:rPr>
        <w:t xml:space="preserve"> </w:t>
      </w:r>
      <w:r>
        <w:rPr>
          <w:rFonts w:ascii="Arial" w:hAnsi="Arial"/>
          <w:i/>
          <w:sz w:val="24"/>
        </w:rPr>
        <w:t>countries</w:t>
      </w:r>
      <w:r>
        <w:rPr>
          <w:rFonts w:ascii="Arial" w:hAnsi="Arial"/>
          <w:i/>
          <w:spacing w:val="-5"/>
          <w:sz w:val="24"/>
        </w:rPr>
        <w:t xml:space="preserve"> </w:t>
      </w:r>
      <w:r>
        <w:rPr>
          <w:rFonts w:ascii="Arial" w:hAnsi="Arial"/>
          <w:i/>
          <w:sz w:val="24"/>
        </w:rPr>
        <w:t>on</w:t>
      </w:r>
      <w:r>
        <w:rPr>
          <w:rFonts w:ascii="Arial" w:hAnsi="Arial"/>
          <w:i/>
          <w:spacing w:val="-5"/>
          <w:sz w:val="24"/>
        </w:rPr>
        <w:t xml:space="preserve"> </w:t>
      </w:r>
      <w:r>
        <w:rPr>
          <w:rFonts w:ascii="Arial" w:hAnsi="Arial"/>
          <w:i/>
          <w:sz w:val="24"/>
        </w:rPr>
        <w:t>issues related to the rights of</w:t>
      </w:r>
      <w:r>
        <w:rPr>
          <w:rFonts w:ascii="Arial" w:hAnsi="Arial"/>
          <w:i/>
          <w:spacing w:val="-1"/>
          <w:sz w:val="24"/>
        </w:rPr>
        <w:t xml:space="preserve"> </w:t>
      </w:r>
      <w:r>
        <w:rPr>
          <w:rFonts w:ascii="Arial" w:hAnsi="Arial"/>
          <w:i/>
          <w:sz w:val="24"/>
        </w:rPr>
        <w:t>persons with disabilities, including progress towards adopting the EU acquis in its annual Enlargement Package of reports.”.</w:t>
      </w:r>
    </w:p>
    <w:p w14:paraId="2A62BDDD" w14:textId="77777777" w:rsidR="00161C10" w:rsidRDefault="00CE2C8C">
      <w:pPr>
        <w:pStyle w:val="BodyText"/>
        <w:spacing w:before="120" w:line="276" w:lineRule="auto"/>
        <w:ind w:left="360" w:right="354"/>
        <w:jc w:val="both"/>
      </w:pPr>
      <w:r>
        <w:t>ENIL</w:t>
      </w:r>
      <w:r>
        <w:rPr>
          <w:spacing w:val="-17"/>
        </w:rPr>
        <w:t xml:space="preserve"> </w:t>
      </w:r>
      <w:r>
        <w:t>has</w:t>
      </w:r>
      <w:r>
        <w:rPr>
          <w:spacing w:val="-17"/>
        </w:rPr>
        <w:t xml:space="preserve"> </w:t>
      </w:r>
      <w:r>
        <w:t>members</w:t>
      </w:r>
      <w:r>
        <w:rPr>
          <w:spacing w:val="-16"/>
        </w:rPr>
        <w:t xml:space="preserve"> </w:t>
      </w:r>
      <w:r>
        <w:t>in</w:t>
      </w:r>
      <w:r>
        <w:rPr>
          <w:spacing w:val="-17"/>
        </w:rPr>
        <w:t xml:space="preserve"> </w:t>
      </w:r>
      <w:r>
        <w:t>all</w:t>
      </w:r>
      <w:r>
        <w:rPr>
          <w:spacing w:val="-17"/>
        </w:rPr>
        <w:t xml:space="preserve"> </w:t>
      </w:r>
      <w:r>
        <w:t>candidate</w:t>
      </w:r>
      <w:r>
        <w:rPr>
          <w:spacing w:val="-17"/>
        </w:rPr>
        <w:t xml:space="preserve"> </w:t>
      </w:r>
      <w:r>
        <w:t>countries</w:t>
      </w:r>
      <w:r>
        <w:rPr>
          <w:spacing w:val="-16"/>
        </w:rPr>
        <w:t xml:space="preserve"> </w:t>
      </w:r>
      <w:r>
        <w:t>(Albania,</w:t>
      </w:r>
      <w:r>
        <w:rPr>
          <w:spacing w:val="-17"/>
        </w:rPr>
        <w:t xml:space="preserve"> </w:t>
      </w:r>
      <w:r>
        <w:t>Bosnia</w:t>
      </w:r>
      <w:r>
        <w:rPr>
          <w:spacing w:val="-17"/>
        </w:rPr>
        <w:t xml:space="preserve"> </w:t>
      </w:r>
      <w:r>
        <w:t>and</w:t>
      </w:r>
      <w:r>
        <w:rPr>
          <w:spacing w:val="-16"/>
        </w:rPr>
        <w:t xml:space="preserve"> </w:t>
      </w:r>
      <w:r>
        <w:t>Herzegovina,</w:t>
      </w:r>
      <w:r>
        <w:rPr>
          <w:spacing w:val="-17"/>
        </w:rPr>
        <w:t xml:space="preserve"> </w:t>
      </w:r>
      <w:r>
        <w:t>Georgia, Moldova, Montenegro, North Macedonia, Serbia, Türkiye and Ukraine), with whom we collaborate</w:t>
      </w:r>
      <w:r>
        <w:rPr>
          <w:spacing w:val="-5"/>
        </w:rPr>
        <w:t xml:space="preserve"> </w:t>
      </w:r>
      <w:r>
        <w:t>on</w:t>
      </w:r>
      <w:r>
        <w:rPr>
          <w:spacing w:val="-5"/>
        </w:rPr>
        <w:t xml:space="preserve"> </w:t>
      </w:r>
      <w:r>
        <w:t>the</w:t>
      </w:r>
      <w:r>
        <w:rPr>
          <w:spacing w:val="-5"/>
        </w:rPr>
        <w:t xml:space="preserve"> </w:t>
      </w:r>
      <w:r>
        <w:t>topic</w:t>
      </w:r>
      <w:r>
        <w:rPr>
          <w:spacing w:val="-5"/>
        </w:rPr>
        <w:t xml:space="preserve"> </w:t>
      </w:r>
      <w:r>
        <w:t>of</w:t>
      </w:r>
      <w:r>
        <w:rPr>
          <w:spacing w:val="-5"/>
        </w:rPr>
        <w:t xml:space="preserve"> </w:t>
      </w:r>
      <w:r>
        <w:t>enlargement</w:t>
      </w:r>
      <w:r>
        <w:rPr>
          <w:spacing w:val="-7"/>
        </w:rPr>
        <w:t xml:space="preserve"> </w:t>
      </w:r>
      <w:r>
        <w:t>policy.</w:t>
      </w:r>
      <w:r>
        <w:rPr>
          <w:spacing w:val="-5"/>
        </w:rPr>
        <w:t xml:space="preserve"> </w:t>
      </w:r>
      <w:r>
        <w:t>The</w:t>
      </w:r>
      <w:r>
        <w:rPr>
          <w:spacing w:val="-5"/>
        </w:rPr>
        <w:t xml:space="preserve"> </w:t>
      </w:r>
      <w:r>
        <w:t>involvement</w:t>
      </w:r>
      <w:r>
        <w:rPr>
          <w:spacing w:val="-5"/>
        </w:rPr>
        <w:t xml:space="preserve"> </w:t>
      </w:r>
      <w:r>
        <w:t>of</w:t>
      </w:r>
      <w:r>
        <w:rPr>
          <w:spacing w:val="-7"/>
        </w:rPr>
        <w:t xml:space="preserve"> </w:t>
      </w:r>
      <w:r>
        <w:t>disabled</w:t>
      </w:r>
      <w:r>
        <w:rPr>
          <w:spacing w:val="-6"/>
        </w:rPr>
        <w:t xml:space="preserve"> </w:t>
      </w:r>
      <w:r>
        <w:t>people</w:t>
      </w:r>
      <w:r>
        <w:rPr>
          <w:spacing w:val="-7"/>
        </w:rPr>
        <w:t xml:space="preserve"> </w:t>
      </w:r>
      <w:r>
        <w:t>in</w:t>
      </w:r>
      <w:r>
        <w:rPr>
          <w:spacing w:val="-5"/>
        </w:rPr>
        <w:t xml:space="preserve"> </w:t>
      </w:r>
      <w:r>
        <w:t>the process varies from country to country. The focus on deinstitutionalisation and the implementation</w:t>
      </w:r>
      <w:r>
        <w:rPr>
          <w:spacing w:val="-5"/>
        </w:rPr>
        <w:t xml:space="preserve"> </w:t>
      </w:r>
      <w:r>
        <w:t>of</w:t>
      </w:r>
      <w:r>
        <w:rPr>
          <w:spacing w:val="-5"/>
        </w:rPr>
        <w:t xml:space="preserve"> </w:t>
      </w:r>
      <w:r>
        <w:t>the</w:t>
      </w:r>
      <w:r>
        <w:rPr>
          <w:spacing w:val="-5"/>
        </w:rPr>
        <w:t xml:space="preserve"> </w:t>
      </w:r>
      <w:r>
        <w:t>right</w:t>
      </w:r>
      <w:r>
        <w:rPr>
          <w:spacing w:val="-5"/>
        </w:rPr>
        <w:t xml:space="preserve"> </w:t>
      </w:r>
      <w:r>
        <w:t>to</w:t>
      </w:r>
      <w:r>
        <w:rPr>
          <w:spacing w:val="-4"/>
        </w:rPr>
        <w:t xml:space="preserve"> </w:t>
      </w:r>
      <w:r>
        <w:t>independent</w:t>
      </w:r>
      <w:r>
        <w:rPr>
          <w:spacing w:val="-5"/>
        </w:rPr>
        <w:t xml:space="preserve"> </w:t>
      </w:r>
      <w:r>
        <w:t>living</w:t>
      </w:r>
      <w:r>
        <w:rPr>
          <w:spacing w:val="-5"/>
        </w:rPr>
        <w:t xml:space="preserve"> </w:t>
      </w:r>
      <w:r>
        <w:t>during</w:t>
      </w:r>
      <w:r>
        <w:rPr>
          <w:spacing w:val="-5"/>
        </w:rPr>
        <w:t xml:space="preserve"> </w:t>
      </w:r>
      <w:r>
        <w:t>accession,</w:t>
      </w:r>
      <w:r>
        <w:rPr>
          <w:spacing w:val="-5"/>
        </w:rPr>
        <w:t xml:space="preserve"> </w:t>
      </w:r>
      <w:r>
        <w:t>as</w:t>
      </w:r>
      <w:r>
        <w:rPr>
          <w:spacing w:val="-5"/>
        </w:rPr>
        <w:t xml:space="preserve"> </w:t>
      </w:r>
      <w:r>
        <w:t>part</w:t>
      </w:r>
      <w:r>
        <w:rPr>
          <w:spacing w:val="-6"/>
        </w:rPr>
        <w:t xml:space="preserve"> </w:t>
      </w:r>
      <w:r>
        <w:t>of</w:t>
      </w:r>
      <w:r>
        <w:rPr>
          <w:spacing w:val="-5"/>
        </w:rPr>
        <w:t xml:space="preserve"> </w:t>
      </w:r>
      <w:r>
        <w:t>the</w:t>
      </w:r>
      <w:r>
        <w:rPr>
          <w:spacing w:val="-5"/>
        </w:rPr>
        <w:t xml:space="preserve"> </w:t>
      </w:r>
      <w:r>
        <w:t>reforms required by the European Commission, is also highly dependent on the state of the negotiations between the Commission and the national authorities, the priorities for the candidate country, and the staff at the EU delegation in the candidate country.</w:t>
      </w:r>
    </w:p>
    <w:p w14:paraId="291A91FE" w14:textId="77777777" w:rsidR="00161C10" w:rsidRDefault="00CE2C8C">
      <w:pPr>
        <w:pStyle w:val="BodyText"/>
        <w:spacing w:before="121" w:line="276" w:lineRule="auto"/>
        <w:ind w:left="360" w:right="361"/>
        <w:jc w:val="both"/>
      </w:pPr>
      <w:r>
        <w:t xml:space="preserve">ENIL members in North Macedonia and Montenegro have reported the use of EU funds to build institutions for disabled people. For instance, in North Macedonia, in December 2019 the EU approved a </w:t>
      </w:r>
      <w:hyperlink r:id="rId116">
        <w:r>
          <w:rPr>
            <w:color w:val="1154CC"/>
            <w:u w:val="single" w:color="1154CC"/>
          </w:rPr>
          <w:t>project</w:t>
        </w:r>
      </w:hyperlink>
      <w:r>
        <w:rPr>
          <w:color w:val="1154CC"/>
        </w:rPr>
        <w:t xml:space="preserve"> </w:t>
      </w:r>
      <w:r>
        <w:t xml:space="preserve">of moving 200 disabled people from the Demir </w:t>
      </w:r>
      <w:proofErr w:type="spellStart"/>
      <w:r>
        <w:t>Kapija</w:t>
      </w:r>
      <w:proofErr w:type="spellEnd"/>
      <w:r>
        <w:t xml:space="preserve"> institution into smaller group homes.</w:t>
      </w:r>
    </w:p>
    <w:p w14:paraId="7B5F746B" w14:textId="77777777" w:rsidR="00161C10" w:rsidRDefault="00CE2C8C">
      <w:pPr>
        <w:spacing w:before="121" w:line="276" w:lineRule="auto"/>
        <w:ind w:left="360" w:right="354"/>
        <w:jc w:val="both"/>
        <w:rPr>
          <w:sz w:val="24"/>
        </w:rPr>
      </w:pPr>
      <w:r>
        <w:rPr>
          <w:sz w:val="24"/>
        </w:rPr>
        <w:t xml:space="preserve">In the case of Ukraine, the European Commission pointed out the need to </w:t>
      </w:r>
      <w:proofErr w:type="spellStart"/>
      <w:r>
        <w:rPr>
          <w:sz w:val="24"/>
        </w:rPr>
        <w:t>prioritise</w:t>
      </w:r>
      <w:proofErr w:type="spellEnd"/>
      <w:r>
        <w:rPr>
          <w:sz w:val="24"/>
        </w:rPr>
        <w:t xml:space="preserve"> deinstitutionalisation </w:t>
      </w:r>
      <w:proofErr w:type="gramStart"/>
      <w:r>
        <w:rPr>
          <w:sz w:val="24"/>
        </w:rPr>
        <w:t>in regard to</w:t>
      </w:r>
      <w:proofErr w:type="gramEnd"/>
      <w:r>
        <w:rPr>
          <w:sz w:val="24"/>
        </w:rPr>
        <w:t xml:space="preserve"> children, but regarding adults, the report on accession states that “</w:t>
      </w:r>
      <w:r>
        <w:rPr>
          <w:rFonts w:ascii="Arial" w:hAnsi="Arial"/>
          <w:i/>
          <w:sz w:val="24"/>
        </w:rPr>
        <w:t>with regard to deinstitutionalisation of adults with disabilities, action and investment</w:t>
      </w:r>
      <w:r>
        <w:rPr>
          <w:rFonts w:ascii="Arial" w:hAnsi="Arial"/>
          <w:i/>
          <w:spacing w:val="-6"/>
          <w:sz w:val="24"/>
        </w:rPr>
        <w:t xml:space="preserve"> </w:t>
      </w:r>
      <w:r>
        <w:rPr>
          <w:rFonts w:ascii="Arial" w:hAnsi="Arial"/>
          <w:i/>
          <w:sz w:val="24"/>
        </w:rPr>
        <w:t>are</w:t>
      </w:r>
      <w:r>
        <w:rPr>
          <w:rFonts w:ascii="Arial" w:hAnsi="Arial"/>
          <w:i/>
          <w:spacing w:val="-4"/>
          <w:sz w:val="24"/>
        </w:rPr>
        <w:t xml:space="preserve"> </w:t>
      </w:r>
      <w:r>
        <w:rPr>
          <w:rFonts w:ascii="Arial" w:hAnsi="Arial"/>
          <w:i/>
          <w:sz w:val="24"/>
        </w:rPr>
        <w:t>needed</w:t>
      </w:r>
      <w:r>
        <w:rPr>
          <w:rFonts w:ascii="Arial" w:hAnsi="Arial"/>
          <w:i/>
          <w:spacing w:val="-6"/>
          <w:sz w:val="24"/>
        </w:rPr>
        <w:t xml:space="preserve"> </w:t>
      </w:r>
      <w:r>
        <w:rPr>
          <w:rFonts w:ascii="Arial" w:hAnsi="Arial"/>
          <w:i/>
          <w:sz w:val="24"/>
        </w:rPr>
        <w:t>to</w:t>
      </w:r>
      <w:r>
        <w:rPr>
          <w:rFonts w:ascii="Arial" w:hAnsi="Arial"/>
          <w:i/>
          <w:spacing w:val="-4"/>
          <w:sz w:val="24"/>
        </w:rPr>
        <w:t xml:space="preserve"> </w:t>
      </w:r>
      <w:r>
        <w:rPr>
          <w:rFonts w:ascii="Arial" w:hAnsi="Arial"/>
          <w:i/>
          <w:sz w:val="24"/>
        </w:rPr>
        <w:t>provide</w:t>
      </w:r>
      <w:r>
        <w:rPr>
          <w:rFonts w:ascii="Arial" w:hAnsi="Arial"/>
          <w:i/>
          <w:spacing w:val="-6"/>
          <w:sz w:val="24"/>
        </w:rPr>
        <w:t xml:space="preserve"> </w:t>
      </w:r>
      <w:r>
        <w:rPr>
          <w:rFonts w:ascii="Arial" w:hAnsi="Arial"/>
          <w:i/>
          <w:sz w:val="24"/>
        </w:rPr>
        <w:t>proper</w:t>
      </w:r>
      <w:r>
        <w:rPr>
          <w:rFonts w:ascii="Arial" w:hAnsi="Arial"/>
          <w:i/>
          <w:spacing w:val="-5"/>
          <w:sz w:val="24"/>
        </w:rPr>
        <w:t xml:space="preserve"> </w:t>
      </w:r>
      <w:r>
        <w:rPr>
          <w:rFonts w:ascii="Arial" w:hAnsi="Arial"/>
          <w:i/>
          <w:sz w:val="24"/>
        </w:rPr>
        <w:t>infrastructure</w:t>
      </w:r>
      <w:r>
        <w:rPr>
          <w:rFonts w:ascii="Arial" w:hAnsi="Arial"/>
          <w:i/>
          <w:spacing w:val="-4"/>
          <w:sz w:val="24"/>
        </w:rPr>
        <w:t xml:space="preserve"> </w:t>
      </w:r>
      <w:r>
        <w:rPr>
          <w:rFonts w:ascii="Arial" w:hAnsi="Arial"/>
          <w:i/>
          <w:sz w:val="24"/>
        </w:rPr>
        <w:t>for</w:t>
      </w:r>
      <w:r>
        <w:rPr>
          <w:rFonts w:ascii="Arial" w:hAnsi="Arial"/>
          <w:i/>
          <w:spacing w:val="-5"/>
          <w:sz w:val="24"/>
        </w:rPr>
        <w:t xml:space="preserve"> </w:t>
      </w:r>
      <w:r>
        <w:rPr>
          <w:rFonts w:ascii="Arial" w:hAnsi="Arial"/>
          <w:i/>
          <w:sz w:val="24"/>
        </w:rPr>
        <w:t>foster</w:t>
      </w:r>
      <w:r>
        <w:rPr>
          <w:rFonts w:ascii="Arial" w:hAnsi="Arial"/>
          <w:i/>
          <w:spacing w:val="-5"/>
          <w:sz w:val="24"/>
        </w:rPr>
        <w:t xml:space="preserve"> </w:t>
      </w:r>
      <w:r>
        <w:rPr>
          <w:rFonts w:ascii="Arial" w:hAnsi="Arial"/>
          <w:i/>
          <w:sz w:val="24"/>
        </w:rPr>
        <w:t>families,</w:t>
      </w:r>
      <w:r>
        <w:rPr>
          <w:rFonts w:ascii="Arial" w:hAnsi="Arial"/>
          <w:i/>
          <w:spacing w:val="-4"/>
          <w:sz w:val="24"/>
        </w:rPr>
        <w:t xml:space="preserve"> </w:t>
      </w:r>
      <w:r>
        <w:rPr>
          <w:rFonts w:ascii="Arial" w:hAnsi="Arial"/>
          <w:i/>
          <w:sz w:val="24"/>
        </w:rPr>
        <w:t>social</w:t>
      </w:r>
      <w:r>
        <w:rPr>
          <w:rFonts w:ascii="Arial" w:hAnsi="Arial"/>
          <w:i/>
          <w:spacing w:val="-4"/>
          <w:sz w:val="24"/>
        </w:rPr>
        <w:t xml:space="preserve"> </w:t>
      </w:r>
      <w:r>
        <w:rPr>
          <w:rFonts w:ascii="Arial" w:hAnsi="Arial"/>
          <w:i/>
          <w:sz w:val="24"/>
        </w:rPr>
        <w:t>services and healthcare, in particular at local and regional level. This should also include the adoption of measures to support inclusive education and access to employment for persons with disabilities</w:t>
      </w:r>
      <w:r>
        <w:rPr>
          <w:sz w:val="24"/>
        </w:rPr>
        <w:t>.”</w:t>
      </w:r>
      <w:hyperlink w:anchor="_bookmark15" w:history="1">
        <w:r>
          <w:rPr>
            <w:position w:val="8"/>
            <w:sz w:val="16"/>
          </w:rPr>
          <w:t>16</w:t>
        </w:r>
      </w:hyperlink>
      <w:r>
        <w:rPr>
          <w:spacing w:val="40"/>
          <w:position w:val="8"/>
          <w:sz w:val="16"/>
        </w:rPr>
        <w:t xml:space="preserve"> </w:t>
      </w:r>
      <w:r>
        <w:rPr>
          <w:sz w:val="24"/>
        </w:rPr>
        <w:t xml:space="preserve">While positive, current deinstitutionalisation efforts are focusing exclusively on children; additionally, the development of foster families for disabled adults is infantilizing and will not guarantee the right to independent living. The same practice has been </w:t>
      </w:r>
      <w:proofErr w:type="spellStart"/>
      <w:r>
        <w:rPr>
          <w:sz w:val="24"/>
        </w:rPr>
        <w:t>criticised</w:t>
      </w:r>
      <w:proofErr w:type="spellEnd"/>
      <w:r>
        <w:rPr>
          <w:sz w:val="24"/>
        </w:rPr>
        <w:t xml:space="preserve"> by the CRPD Committee in relation to Croatia during the 2015 review.</w:t>
      </w:r>
    </w:p>
    <w:p w14:paraId="18022116" w14:textId="77777777" w:rsidR="00161C10" w:rsidRDefault="00CE2C8C">
      <w:pPr>
        <w:pStyle w:val="BodyText"/>
        <w:spacing w:before="114" w:line="276" w:lineRule="auto"/>
        <w:ind w:left="360" w:right="353"/>
        <w:jc w:val="both"/>
      </w:pPr>
      <w:r>
        <w:t xml:space="preserve">In addition, after granting candidate status to Ukraine, the EU merged the different aid instruments into the Ukraine Facility. The </w:t>
      </w:r>
      <w:hyperlink r:id="rId117">
        <w:r>
          <w:rPr>
            <w:color w:val="1154CC"/>
            <w:u w:val="single" w:color="1154CC"/>
          </w:rPr>
          <w:t>Regulation (EU) 2024/792</w:t>
        </w:r>
      </w:hyperlink>
      <w:r>
        <w:rPr>
          <w:color w:val="1154CC"/>
        </w:rPr>
        <w:t xml:space="preserve"> </w:t>
      </w:r>
      <w:r>
        <w:t>of the European Parliament and of the Council of 29 February 2024 establishing the Ukraine Facility, however,</w:t>
      </w:r>
      <w:r>
        <w:rPr>
          <w:spacing w:val="-6"/>
        </w:rPr>
        <w:t xml:space="preserve"> </w:t>
      </w:r>
      <w:r>
        <w:t>fails</w:t>
      </w:r>
      <w:r>
        <w:rPr>
          <w:spacing w:val="-5"/>
        </w:rPr>
        <w:t xml:space="preserve"> </w:t>
      </w:r>
      <w:r>
        <w:t>to</w:t>
      </w:r>
      <w:r>
        <w:rPr>
          <w:spacing w:val="-4"/>
        </w:rPr>
        <w:t xml:space="preserve"> </w:t>
      </w:r>
      <w:r>
        <w:t>properly</w:t>
      </w:r>
      <w:r>
        <w:rPr>
          <w:spacing w:val="-5"/>
        </w:rPr>
        <w:t xml:space="preserve"> </w:t>
      </w:r>
      <w:r>
        <w:t>address</w:t>
      </w:r>
      <w:r>
        <w:rPr>
          <w:spacing w:val="-5"/>
        </w:rPr>
        <w:t xml:space="preserve"> </w:t>
      </w:r>
      <w:r>
        <w:t>the</w:t>
      </w:r>
      <w:r>
        <w:rPr>
          <w:spacing w:val="-5"/>
        </w:rPr>
        <w:t xml:space="preserve"> </w:t>
      </w:r>
      <w:r>
        <w:t>need</w:t>
      </w:r>
      <w:r>
        <w:rPr>
          <w:spacing w:val="-5"/>
        </w:rPr>
        <w:t xml:space="preserve"> </w:t>
      </w:r>
      <w:r>
        <w:t>for</w:t>
      </w:r>
      <w:r>
        <w:rPr>
          <w:spacing w:val="-6"/>
        </w:rPr>
        <w:t xml:space="preserve"> </w:t>
      </w:r>
      <w:r>
        <w:t>deinstitutionalisation</w:t>
      </w:r>
      <w:r>
        <w:rPr>
          <w:spacing w:val="-5"/>
        </w:rPr>
        <w:t xml:space="preserve"> </w:t>
      </w:r>
      <w:r>
        <w:t>for</w:t>
      </w:r>
      <w:r>
        <w:rPr>
          <w:spacing w:val="-6"/>
        </w:rPr>
        <w:t xml:space="preserve"> </w:t>
      </w:r>
      <w:r>
        <w:t>disabled</w:t>
      </w:r>
      <w:r>
        <w:rPr>
          <w:spacing w:val="-4"/>
        </w:rPr>
        <w:t xml:space="preserve"> </w:t>
      </w:r>
      <w:r>
        <w:t>children</w:t>
      </w:r>
    </w:p>
    <w:p w14:paraId="24BC1858" w14:textId="77777777" w:rsidR="00161C10" w:rsidRDefault="00CE2C8C">
      <w:pPr>
        <w:pStyle w:val="BodyText"/>
        <w:spacing w:before="5"/>
        <w:rPr>
          <w:sz w:val="20"/>
        </w:rPr>
      </w:pPr>
      <w:r>
        <w:rPr>
          <w:noProof/>
          <w:sz w:val="20"/>
        </w:rPr>
        <mc:AlternateContent>
          <mc:Choice Requires="wps">
            <w:drawing>
              <wp:anchor distT="0" distB="0" distL="0" distR="0" simplePos="0" relativeHeight="487605248" behindDoc="1" locked="0" layoutInCell="1" allowOverlap="1" wp14:anchorId="3D998CDB" wp14:editId="46BD86D6">
                <wp:simplePos x="0" y="0"/>
                <wp:positionH relativeFrom="page">
                  <wp:posOffset>914704</wp:posOffset>
                </wp:positionH>
                <wp:positionV relativeFrom="paragraph">
                  <wp:posOffset>164512</wp:posOffset>
                </wp:positionV>
                <wp:extent cx="1829435" cy="762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765A97" id="Graphic 49" o:spid="_x0000_s1026" style="position:absolute;margin-left:1in;margin-top:12.95pt;width:144.05pt;height:.6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" path="m1829054,l,,,7619r1829054,l1829054,xe" fillcolor="black" stroked="f">
                <v:path arrowok="t"/>
                <w10:wrap type="topAndBottom" anchorx="page"/>
              </v:shape>
            </w:pict>
          </mc:Fallback>
        </mc:AlternateContent>
      </w:r>
    </w:p>
    <w:p w14:paraId="5EFEA928" w14:textId="77777777" w:rsidR="00161C10" w:rsidRDefault="00CE2C8C">
      <w:pPr>
        <w:spacing w:before="91"/>
        <w:ind w:left="360" w:right="703"/>
        <w:jc w:val="both"/>
        <w:rPr>
          <w:sz w:val="20"/>
        </w:rPr>
      </w:pPr>
      <w:bookmarkStart w:id="15" w:name="_bookmark15"/>
      <w:bookmarkEnd w:id="15"/>
      <w:r>
        <w:rPr>
          <w:position w:val="6"/>
          <w:sz w:val="13"/>
        </w:rPr>
        <w:t>16</w:t>
      </w:r>
      <w:r>
        <w:rPr>
          <w:spacing w:val="15"/>
          <w:position w:val="6"/>
          <w:sz w:val="13"/>
        </w:rPr>
        <w:t xml:space="preserve"> </w:t>
      </w:r>
      <w:r>
        <w:rPr>
          <w:sz w:val="20"/>
        </w:rPr>
        <w:t>COMMISSION</w:t>
      </w:r>
      <w:r>
        <w:rPr>
          <w:spacing w:val="-4"/>
          <w:sz w:val="20"/>
        </w:rPr>
        <w:t xml:space="preserve"> </w:t>
      </w:r>
      <w:r>
        <w:rPr>
          <w:sz w:val="20"/>
        </w:rPr>
        <w:t>STAFF</w:t>
      </w:r>
      <w:r>
        <w:rPr>
          <w:spacing w:val="-3"/>
          <w:sz w:val="20"/>
        </w:rPr>
        <w:t xml:space="preserve"> </w:t>
      </w:r>
      <w:r>
        <w:rPr>
          <w:sz w:val="20"/>
        </w:rPr>
        <w:t>WORKING</w:t>
      </w:r>
      <w:r>
        <w:rPr>
          <w:spacing w:val="-3"/>
          <w:sz w:val="20"/>
        </w:rPr>
        <w:t xml:space="preserve"> </w:t>
      </w:r>
      <w:r>
        <w:rPr>
          <w:sz w:val="20"/>
        </w:rPr>
        <w:t>DOCUMENT</w:t>
      </w:r>
      <w:r>
        <w:rPr>
          <w:spacing w:val="-3"/>
          <w:sz w:val="20"/>
        </w:rPr>
        <w:t xml:space="preserve"> </w:t>
      </w:r>
      <w:r>
        <w:rPr>
          <w:sz w:val="20"/>
        </w:rPr>
        <w:t>Ukraine</w:t>
      </w:r>
      <w:r>
        <w:rPr>
          <w:spacing w:val="-5"/>
          <w:sz w:val="20"/>
        </w:rPr>
        <w:t xml:space="preserve"> </w:t>
      </w:r>
      <w:r>
        <w:rPr>
          <w:sz w:val="20"/>
        </w:rPr>
        <w:t>2024</w:t>
      </w:r>
      <w:r>
        <w:rPr>
          <w:spacing w:val="-2"/>
          <w:sz w:val="20"/>
        </w:rPr>
        <w:t xml:space="preserve"> </w:t>
      </w:r>
      <w:r>
        <w:rPr>
          <w:sz w:val="20"/>
        </w:rPr>
        <w:t>Report,</w:t>
      </w:r>
      <w:r>
        <w:rPr>
          <w:spacing w:val="-4"/>
          <w:sz w:val="20"/>
        </w:rPr>
        <w:t xml:space="preserve"> </w:t>
      </w:r>
      <w:r>
        <w:rPr>
          <w:sz w:val="20"/>
        </w:rPr>
        <w:t>accompanying</w:t>
      </w:r>
      <w:r>
        <w:rPr>
          <w:spacing w:val="-5"/>
          <w:sz w:val="20"/>
        </w:rPr>
        <w:t xml:space="preserve"> </w:t>
      </w:r>
      <w:r>
        <w:rPr>
          <w:sz w:val="20"/>
        </w:rPr>
        <w:t>the</w:t>
      </w:r>
      <w:r>
        <w:rPr>
          <w:spacing w:val="-5"/>
          <w:sz w:val="20"/>
        </w:rPr>
        <w:t xml:space="preserve"> </w:t>
      </w:r>
      <w:r>
        <w:rPr>
          <w:sz w:val="20"/>
        </w:rPr>
        <w:t>document COMMUNICATION</w:t>
      </w:r>
      <w:r>
        <w:rPr>
          <w:spacing w:val="-6"/>
          <w:sz w:val="20"/>
        </w:rPr>
        <w:t xml:space="preserve"> </w:t>
      </w:r>
      <w:r>
        <w:rPr>
          <w:sz w:val="20"/>
        </w:rPr>
        <w:t>FROM</w:t>
      </w:r>
      <w:r>
        <w:rPr>
          <w:spacing w:val="-4"/>
          <w:sz w:val="20"/>
        </w:rPr>
        <w:t xml:space="preserve"> </w:t>
      </w:r>
      <w:r>
        <w:rPr>
          <w:sz w:val="20"/>
        </w:rPr>
        <w:t>THE</w:t>
      </w:r>
      <w:r>
        <w:rPr>
          <w:spacing w:val="-6"/>
          <w:sz w:val="20"/>
        </w:rPr>
        <w:t xml:space="preserve"> </w:t>
      </w:r>
      <w:r>
        <w:rPr>
          <w:sz w:val="20"/>
        </w:rPr>
        <w:t>COMMISSION</w:t>
      </w:r>
      <w:r>
        <w:rPr>
          <w:spacing w:val="-6"/>
          <w:sz w:val="20"/>
        </w:rPr>
        <w:t xml:space="preserve"> </w:t>
      </w:r>
      <w:r>
        <w:rPr>
          <w:sz w:val="20"/>
        </w:rPr>
        <w:t>TO</w:t>
      </w:r>
      <w:r>
        <w:rPr>
          <w:spacing w:val="-5"/>
          <w:sz w:val="20"/>
        </w:rPr>
        <w:t xml:space="preserve"> </w:t>
      </w:r>
      <w:r>
        <w:rPr>
          <w:sz w:val="20"/>
        </w:rPr>
        <w:t>THE</w:t>
      </w:r>
      <w:r>
        <w:rPr>
          <w:spacing w:val="-6"/>
          <w:sz w:val="20"/>
        </w:rPr>
        <w:t xml:space="preserve"> </w:t>
      </w:r>
      <w:r>
        <w:rPr>
          <w:sz w:val="20"/>
        </w:rPr>
        <w:t>EUROPEAN</w:t>
      </w:r>
      <w:r>
        <w:rPr>
          <w:spacing w:val="-3"/>
          <w:sz w:val="20"/>
        </w:rPr>
        <w:t xml:space="preserve"> </w:t>
      </w:r>
      <w:r>
        <w:rPr>
          <w:sz w:val="20"/>
        </w:rPr>
        <w:t>PARLIAMENT,</w:t>
      </w:r>
      <w:r>
        <w:rPr>
          <w:spacing w:val="-6"/>
          <w:sz w:val="20"/>
        </w:rPr>
        <w:t xml:space="preserve"> </w:t>
      </w:r>
      <w:r>
        <w:rPr>
          <w:sz w:val="20"/>
        </w:rPr>
        <w:t>THE</w:t>
      </w:r>
      <w:r>
        <w:rPr>
          <w:spacing w:val="-6"/>
          <w:sz w:val="20"/>
        </w:rPr>
        <w:t xml:space="preserve"> </w:t>
      </w:r>
      <w:r>
        <w:rPr>
          <w:sz w:val="20"/>
        </w:rPr>
        <w:t>COUNCIL, THE EUROPEAN ECONOMIC AND SOCIAL COMMITTEE AND THE COMMITTEE OF REGIONS</w:t>
      </w:r>
    </w:p>
    <w:p w14:paraId="6AAC3E6B" w14:textId="77777777" w:rsidR="00161C10" w:rsidRPr="005B2E9B" w:rsidRDefault="00CE2C8C">
      <w:pPr>
        <w:spacing w:before="1"/>
        <w:ind w:left="360" w:right="1174"/>
        <w:rPr>
          <w:sz w:val="20"/>
          <w:lang w:val="fr-BE"/>
        </w:rPr>
      </w:pPr>
      <w:r w:rsidRPr="005B2E9B">
        <w:rPr>
          <w:sz w:val="20"/>
          <w:lang w:val="fr-BE"/>
        </w:rPr>
        <w:t>2024</w:t>
      </w:r>
      <w:r w:rsidRPr="005B2E9B">
        <w:rPr>
          <w:spacing w:val="-3"/>
          <w:sz w:val="20"/>
          <w:lang w:val="fr-BE"/>
        </w:rPr>
        <w:t xml:space="preserve"> </w:t>
      </w:r>
      <w:r w:rsidRPr="005B2E9B">
        <w:rPr>
          <w:sz w:val="20"/>
          <w:lang w:val="fr-BE"/>
        </w:rPr>
        <w:t>Communication</w:t>
      </w:r>
      <w:r w:rsidRPr="005B2E9B">
        <w:rPr>
          <w:spacing w:val="-5"/>
          <w:sz w:val="20"/>
          <w:lang w:val="fr-BE"/>
        </w:rPr>
        <w:t xml:space="preserve"> </w:t>
      </w:r>
      <w:proofErr w:type="spellStart"/>
      <w:r w:rsidRPr="005B2E9B">
        <w:rPr>
          <w:sz w:val="20"/>
          <w:lang w:val="fr-BE"/>
        </w:rPr>
        <w:t>on</w:t>
      </w:r>
      <w:proofErr w:type="spellEnd"/>
      <w:r w:rsidRPr="005B2E9B">
        <w:rPr>
          <w:spacing w:val="-3"/>
          <w:sz w:val="20"/>
          <w:lang w:val="fr-BE"/>
        </w:rPr>
        <w:t xml:space="preserve"> </w:t>
      </w:r>
      <w:r w:rsidRPr="005B2E9B">
        <w:rPr>
          <w:sz w:val="20"/>
          <w:lang w:val="fr-BE"/>
        </w:rPr>
        <w:t>EU</w:t>
      </w:r>
      <w:r w:rsidRPr="005B2E9B">
        <w:rPr>
          <w:spacing w:val="-5"/>
          <w:sz w:val="20"/>
          <w:lang w:val="fr-BE"/>
        </w:rPr>
        <w:t xml:space="preserve"> </w:t>
      </w:r>
      <w:proofErr w:type="spellStart"/>
      <w:r w:rsidRPr="005B2E9B">
        <w:rPr>
          <w:sz w:val="20"/>
          <w:lang w:val="fr-BE"/>
        </w:rPr>
        <w:t>enlargement</w:t>
      </w:r>
      <w:proofErr w:type="spellEnd"/>
      <w:r w:rsidRPr="005B2E9B">
        <w:rPr>
          <w:spacing w:val="-5"/>
          <w:sz w:val="20"/>
          <w:lang w:val="fr-BE"/>
        </w:rPr>
        <w:t xml:space="preserve"> </w:t>
      </w:r>
      <w:proofErr w:type="spellStart"/>
      <w:r w:rsidRPr="005B2E9B">
        <w:rPr>
          <w:sz w:val="20"/>
          <w:lang w:val="fr-BE"/>
        </w:rPr>
        <w:t>policy</w:t>
      </w:r>
      <w:proofErr w:type="spellEnd"/>
      <w:r w:rsidRPr="005B2E9B">
        <w:rPr>
          <w:sz w:val="20"/>
          <w:lang w:val="fr-BE"/>
        </w:rPr>
        <w:t>,</w:t>
      </w:r>
      <w:r w:rsidRPr="005B2E9B">
        <w:rPr>
          <w:spacing w:val="-5"/>
          <w:sz w:val="20"/>
          <w:lang w:val="fr-BE"/>
        </w:rPr>
        <w:t xml:space="preserve"> </w:t>
      </w:r>
      <w:r w:rsidRPr="005B2E9B">
        <w:rPr>
          <w:sz w:val="20"/>
          <w:lang w:val="fr-BE"/>
        </w:rPr>
        <w:t>available</w:t>
      </w:r>
      <w:r w:rsidRPr="005B2E9B">
        <w:rPr>
          <w:spacing w:val="-5"/>
          <w:sz w:val="20"/>
          <w:lang w:val="fr-BE"/>
        </w:rPr>
        <w:t xml:space="preserve"> </w:t>
      </w:r>
      <w:r w:rsidRPr="005B2E9B">
        <w:rPr>
          <w:sz w:val="20"/>
          <w:lang w:val="fr-BE"/>
        </w:rPr>
        <w:t xml:space="preserve">at </w:t>
      </w:r>
      <w:hyperlink r:id="rId118">
        <w:r w:rsidRPr="005B2E9B">
          <w:rPr>
            <w:color w:val="1154CC"/>
            <w:sz w:val="20"/>
            <w:u w:val="single" w:color="1154CC"/>
            <w:lang w:val="fr-BE"/>
          </w:rPr>
          <w:t>Ukraine</w:t>
        </w:r>
        <w:r w:rsidRPr="005B2E9B">
          <w:rPr>
            <w:color w:val="1154CC"/>
            <w:spacing w:val="-5"/>
            <w:sz w:val="20"/>
            <w:u w:val="single" w:color="1154CC"/>
            <w:lang w:val="fr-BE"/>
          </w:rPr>
          <w:t xml:space="preserve"> </w:t>
        </w:r>
        <w:r w:rsidRPr="005B2E9B">
          <w:rPr>
            <w:color w:val="1154CC"/>
            <w:sz w:val="20"/>
            <w:u w:val="single" w:color="1154CC"/>
            <w:lang w:val="fr-BE"/>
          </w:rPr>
          <w:t>Report</w:t>
        </w:r>
        <w:r w:rsidRPr="005B2E9B">
          <w:rPr>
            <w:color w:val="1154CC"/>
            <w:spacing w:val="-5"/>
            <w:sz w:val="20"/>
            <w:u w:val="single" w:color="1154CC"/>
            <w:lang w:val="fr-BE"/>
          </w:rPr>
          <w:t xml:space="preserve"> </w:t>
        </w:r>
        <w:r w:rsidRPr="005B2E9B">
          <w:rPr>
            <w:color w:val="1154CC"/>
            <w:sz w:val="20"/>
            <w:u w:val="single" w:color="1154CC"/>
            <w:lang w:val="fr-BE"/>
          </w:rPr>
          <w:t>2024</w:t>
        </w:r>
        <w:r w:rsidRPr="005B2E9B">
          <w:rPr>
            <w:color w:val="1154CC"/>
            <w:spacing w:val="-3"/>
            <w:sz w:val="20"/>
            <w:u w:val="single" w:color="1154CC"/>
            <w:lang w:val="fr-BE"/>
          </w:rPr>
          <w:t xml:space="preserve"> </w:t>
        </w:r>
        <w:r w:rsidRPr="005B2E9B">
          <w:rPr>
            <w:color w:val="1154CC"/>
            <w:sz w:val="20"/>
            <w:u w:val="single" w:color="1154CC"/>
            <w:lang w:val="fr-BE"/>
          </w:rPr>
          <w:t>-</w:t>
        </w:r>
        <w:r w:rsidRPr="005B2E9B">
          <w:rPr>
            <w:color w:val="1154CC"/>
            <w:spacing w:val="-4"/>
            <w:sz w:val="20"/>
            <w:u w:val="single" w:color="1154CC"/>
            <w:lang w:val="fr-BE"/>
          </w:rPr>
          <w:t xml:space="preserve"> </w:t>
        </w:r>
        <w:r w:rsidRPr="005B2E9B">
          <w:rPr>
            <w:color w:val="1154CC"/>
            <w:sz w:val="20"/>
            <w:u w:val="single" w:color="1154CC"/>
            <w:lang w:val="fr-BE"/>
          </w:rPr>
          <w:t>European</w:t>
        </w:r>
      </w:hyperlink>
      <w:r w:rsidRPr="005B2E9B">
        <w:rPr>
          <w:color w:val="1154CC"/>
          <w:sz w:val="20"/>
          <w:lang w:val="fr-BE"/>
        </w:rPr>
        <w:t xml:space="preserve"> </w:t>
      </w:r>
      <w:hyperlink r:id="rId119">
        <w:r w:rsidRPr="005B2E9B">
          <w:rPr>
            <w:color w:val="1154CC"/>
            <w:spacing w:val="-2"/>
            <w:sz w:val="20"/>
            <w:u w:val="single" w:color="1154CC"/>
            <w:lang w:val="fr-BE"/>
          </w:rPr>
          <w:t>Commission</w:t>
        </w:r>
      </w:hyperlink>
    </w:p>
    <w:p w14:paraId="6CE3755F" w14:textId="77777777" w:rsidR="00161C10" w:rsidRPr="005B2E9B" w:rsidRDefault="00161C10">
      <w:pPr>
        <w:rPr>
          <w:sz w:val="20"/>
          <w:lang w:val="fr-BE"/>
        </w:rPr>
        <w:sectPr w:rsidR="00161C10" w:rsidRPr="005B2E9B">
          <w:pgSz w:w="12240" w:h="15840"/>
          <w:pgMar w:top="1440" w:right="1080" w:bottom="1540" w:left="1080" w:header="0" w:footer="1274" w:gutter="0"/>
          <w:cols w:space="720"/>
        </w:sectPr>
      </w:pPr>
    </w:p>
    <w:p w14:paraId="6D1AA9EE" w14:textId="77777777" w:rsidR="00161C10" w:rsidRDefault="00CE2C8C">
      <w:pPr>
        <w:pStyle w:val="BodyText"/>
        <w:spacing w:before="81" w:line="276" w:lineRule="auto"/>
        <w:ind w:left="360" w:right="353"/>
        <w:jc w:val="both"/>
      </w:pPr>
      <w:r>
        <w:lastRenderedPageBreak/>
        <w:t>and adults, only referring to alignment with the UNCRPD at large, but without specific goals and objectives. The consultation process for this Regulation was not inclusive of disabled people and children’s rights groups, which were not allowed to see the draft before being required to provide “feedback”.</w:t>
      </w:r>
    </w:p>
    <w:p w14:paraId="32F6095F" w14:textId="77777777" w:rsidR="00161C10" w:rsidRDefault="00CE2C8C">
      <w:pPr>
        <w:spacing w:before="120"/>
        <w:ind w:left="360"/>
        <w:jc w:val="both"/>
        <w:rPr>
          <w:rFonts w:ascii="Arial" w:hAnsi="Arial"/>
          <w:b/>
          <w:i/>
          <w:sz w:val="24"/>
        </w:rPr>
      </w:pPr>
      <w:r>
        <w:rPr>
          <w:rFonts w:ascii="Arial" w:hAnsi="Arial"/>
          <w:b/>
          <w:i/>
          <w:sz w:val="24"/>
        </w:rPr>
        <w:t>ENIL’s</w:t>
      </w:r>
      <w:r>
        <w:rPr>
          <w:rFonts w:ascii="Arial" w:hAnsi="Arial"/>
          <w:b/>
          <w:i/>
          <w:spacing w:val="-4"/>
          <w:sz w:val="24"/>
        </w:rPr>
        <w:t xml:space="preserve"> </w:t>
      </w:r>
      <w:r>
        <w:rPr>
          <w:rFonts w:ascii="Arial" w:hAnsi="Arial"/>
          <w:b/>
          <w:i/>
          <w:spacing w:val="-2"/>
          <w:sz w:val="24"/>
        </w:rPr>
        <w:t>proposal:</w:t>
      </w:r>
    </w:p>
    <w:p w14:paraId="23D2495F" w14:textId="77777777" w:rsidR="00161C10" w:rsidRDefault="00CE2C8C">
      <w:pPr>
        <w:pStyle w:val="BodyText"/>
        <w:rPr>
          <w:rFonts w:ascii="Arial"/>
          <w:b/>
          <w:i/>
          <w:sz w:val="12"/>
        </w:rPr>
      </w:pPr>
      <w:r>
        <w:rPr>
          <w:rFonts w:ascii="Arial"/>
          <w:b/>
          <w:i/>
          <w:noProof/>
          <w:sz w:val="12"/>
        </w:rPr>
        <mc:AlternateContent>
          <mc:Choice Requires="wps">
            <w:drawing>
              <wp:anchor distT="0" distB="0" distL="0" distR="0" simplePos="0" relativeHeight="487605760" behindDoc="1" locked="0" layoutInCell="1" allowOverlap="1" wp14:anchorId="6FEA96A8" wp14:editId="15A29FD9">
                <wp:simplePos x="0" y="0"/>
                <wp:positionH relativeFrom="page">
                  <wp:posOffset>843076</wp:posOffset>
                </wp:positionH>
                <wp:positionV relativeFrom="paragraph">
                  <wp:posOffset>106382</wp:posOffset>
                </wp:positionV>
                <wp:extent cx="6088380" cy="1239520"/>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1239520"/>
                        </a:xfrm>
                        <a:prstGeom prst="rect">
                          <a:avLst/>
                        </a:prstGeom>
                        <a:ln w="6095">
                          <a:solidFill>
                            <a:srgbClr val="000000"/>
                          </a:solidFill>
                          <a:prstDash val="solid"/>
                        </a:ln>
                      </wps:spPr>
                      <wps:txbx>
                        <w:txbxContent>
                          <w:p w14:paraId="58574F77" w14:textId="77777777" w:rsidR="00161C10" w:rsidRDefault="00CE2C8C">
                            <w:pPr>
                              <w:spacing w:before="19" w:line="276" w:lineRule="auto"/>
                              <w:ind w:left="108" w:right="106"/>
                              <w:jc w:val="both"/>
                              <w:rPr>
                                <w:rFonts w:ascii="Arial"/>
                                <w:b/>
                                <w:sz w:val="24"/>
                              </w:rPr>
                            </w:pPr>
                            <w:r>
                              <w:rPr>
                                <w:rFonts w:ascii="Arial"/>
                                <w:b/>
                                <w:sz w:val="24"/>
                              </w:rPr>
                              <w:t>The Committee recommends that the European Union integrates deinstitutionalisation for disabled children and adults as an essential element of the accession process, in a manner consistent with the Guidelines on deinstitutionalisation, including in Emergencies. Funds provided to candidate countries or via the Ukraine Facility must not be used to finance institutions or other segregated settings.</w:t>
                            </w:r>
                          </w:p>
                        </w:txbxContent>
                      </wps:txbx>
                      <wps:bodyPr wrap="square" lIns="0" tIns="0" rIns="0" bIns="0" rtlCol="0">
                        <a:noAutofit/>
                      </wps:bodyPr>
                    </wps:wsp>
                  </a:graphicData>
                </a:graphic>
              </wp:anchor>
            </w:drawing>
          </mc:Choice>
          <mc:Fallback>
            <w:pict>
              <v:shape w14:anchorId="6FEA96A8" id="Textbox 50" o:spid="_x0000_s1060" type="#_x0000_t202" style="position:absolute;margin-left:66.4pt;margin-top:8.4pt;width:479.4pt;height:97.6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" filled="f" strokeweight=".16931mm">
                <v:path arrowok="t"/>
                <v:textbox inset="0,0,0,0">
                  <w:txbxContent>
                    <w:p w14:paraId="58574F77" w14:textId="77777777" w:rsidR="00161C10" w:rsidRDefault="00CE2C8C">
                      <w:pPr>
                        <w:spacing w:before="19" w:line="276" w:lineRule="auto"/>
                        <w:ind w:left="108" w:right="106"/>
                        <w:jc w:val="both"/>
                        <w:rPr>
                          <w:rFonts w:ascii="Arial"/>
                          <w:b/>
                          <w:sz w:val="24"/>
                        </w:rPr>
                      </w:pPr>
                      <w:r>
                        <w:rPr>
                          <w:rFonts w:ascii="Arial"/>
                          <w:b/>
                          <w:sz w:val="24"/>
                        </w:rPr>
                        <w:t xml:space="preserve">The Committee recommends that the European Union integrates </w:t>
                      </w:r>
                      <w:proofErr w:type="spellStart"/>
                      <w:r>
                        <w:rPr>
                          <w:rFonts w:ascii="Arial"/>
                          <w:b/>
                          <w:sz w:val="24"/>
                        </w:rPr>
                        <w:t>deinstitutionalisation</w:t>
                      </w:r>
                      <w:proofErr w:type="spellEnd"/>
                      <w:r>
                        <w:rPr>
                          <w:rFonts w:ascii="Arial"/>
                          <w:b/>
                          <w:sz w:val="24"/>
                        </w:rPr>
                        <w:t xml:space="preserve"> for disabled children and adults as an essential element of the accession process, in a manner consistent with the Guidelines on </w:t>
                      </w:r>
                      <w:proofErr w:type="spellStart"/>
                      <w:r>
                        <w:rPr>
                          <w:rFonts w:ascii="Arial"/>
                          <w:b/>
                          <w:sz w:val="24"/>
                        </w:rPr>
                        <w:t>deinstitutionalisation</w:t>
                      </w:r>
                      <w:proofErr w:type="spellEnd"/>
                      <w:r>
                        <w:rPr>
                          <w:rFonts w:ascii="Arial"/>
                          <w:b/>
                          <w:sz w:val="24"/>
                        </w:rPr>
                        <w:t>, including in Emergencies. Funds provided to candidate countries or via the Ukraine Facility must not be used to finance institutions or other segregated settings.</w:t>
                      </w:r>
                    </w:p>
                  </w:txbxContent>
                </v:textbox>
                <w10:wrap type="topAndBottom" anchorx="page"/>
              </v:shape>
            </w:pict>
          </mc:Fallback>
        </mc:AlternateContent>
      </w:r>
    </w:p>
    <w:p w14:paraId="55557C68" w14:textId="77777777" w:rsidR="00161C10" w:rsidRDefault="00161C10">
      <w:pPr>
        <w:pStyle w:val="BodyText"/>
        <w:rPr>
          <w:rFonts w:ascii="Arial"/>
          <w:b/>
          <w:i/>
          <w:sz w:val="28"/>
        </w:rPr>
      </w:pPr>
    </w:p>
    <w:p w14:paraId="4B9272C7" w14:textId="77777777" w:rsidR="00161C10" w:rsidRDefault="00161C10">
      <w:pPr>
        <w:pStyle w:val="BodyText"/>
        <w:rPr>
          <w:rFonts w:ascii="Arial"/>
          <w:b/>
          <w:i/>
          <w:sz w:val="28"/>
        </w:rPr>
      </w:pPr>
    </w:p>
    <w:p w14:paraId="4C4A23B2" w14:textId="77777777" w:rsidR="00161C10" w:rsidRDefault="00161C10">
      <w:pPr>
        <w:pStyle w:val="BodyText"/>
        <w:rPr>
          <w:rFonts w:ascii="Arial"/>
          <w:b/>
          <w:i/>
          <w:sz w:val="28"/>
        </w:rPr>
      </w:pPr>
    </w:p>
    <w:p w14:paraId="5348309D" w14:textId="77777777" w:rsidR="00161C10" w:rsidRDefault="00161C10">
      <w:pPr>
        <w:pStyle w:val="BodyText"/>
        <w:rPr>
          <w:rFonts w:ascii="Arial"/>
          <w:b/>
          <w:i/>
          <w:sz w:val="28"/>
        </w:rPr>
      </w:pPr>
    </w:p>
    <w:p w14:paraId="137DE5C8" w14:textId="77777777" w:rsidR="00161C10" w:rsidRDefault="00161C10">
      <w:pPr>
        <w:pStyle w:val="BodyText"/>
        <w:rPr>
          <w:rFonts w:ascii="Arial"/>
          <w:b/>
          <w:i/>
          <w:sz w:val="28"/>
        </w:rPr>
      </w:pPr>
    </w:p>
    <w:p w14:paraId="5FE4EEF7" w14:textId="77777777" w:rsidR="00161C10" w:rsidRDefault="00161C10">
      <w:pPr>
        <w:pStyle w:val="BodyText"/>
        <w:rPr>
          <w:rFonts w:ascii="Arial"/>
          <w:b/>
          <w:i/>
          <w:sz w:val="28"/>
        </w:rPr>
      </w:pPr>
    </w:p>
    <w:p w14:paraId="6CB0543E" w14:textId="77777777" w:rsidR="00161C10" w:rsidRDefault="00161C10">
      <w:pPr>
        <w:pStyle w:val="BodyText"/>
        <w:rPr>
          <w:rFonts w:ascii="Arial"/>
          <w:b/>
          <w:i/>
          <w:sz w:val="28"/>
        </w:rPr>
      </w:pPr>
    </w:p>
    <w:p w14:paraId="439CB88C" w14:textId="77777777" w:rsidR="00161C10" w:rsidRDefault="00161C10">
      <w:pPr>
        <w:pStyle w:val="BodyText"/>
        <w:spacing w:before="1"/>
        <w:rPr>
          <w:rFonts w:ascii="Arial"/>
          <w:b/>
          <w:i/>
          <w:sz w:val="28"/>
        </w:rPr>
      </w:pPr>
    </w:p>
    <w:p w14:paraId="6E60AD98" w14:textId="77777777" w:rsidR="00161C10" w:rsidRPr="005B2E9B" w:rsidRDefault="00CE2C8C" w:rsidP="00731679">
      <w:pPr>
        <w:ind w:firstLine="360"/>
        <w:rPr>
          <w:b/>
          <w:bCs/>
          <w:sz w:val="32"/>
          <w:szCs w:val="32"/>
        </w:rPr>
      </w:pPr>
      <w:r w:rsidRPr="005B2E9B">
        <w:rPr>
          <w:b/>
          <w:bCs/>
          <w:sz w:val="32"/>
          <w:szCs w:val="32"/>
        </w:rPr>
        <w:t>About</w:t>
      </w:r>
      <w:r w:rsidRPr="005B2E9B">
        <w:rPr>
          <w:b/>
          <w:bCs/>
          <w:spacing w:val="-10"/>
          <w:sz w:val="32"/>
          <w:szCs w:val="32"/>
        </w:rPr>
        <w:t xml:space="preserve"> </w:t>
      </w:r>
      <w:r w:rsidRPr="005B2E9B">
        <w:rPr>
          <w:b/>
          <w:bCs/>
          <w:sz w:val="32"/>
          <w:szCs w:val="32"/>
        </w:rPr>
        <w:t>the</w:t>
      </w:r>
      <w:r w:rsidRPr="005B2E9B">
        <w:rPr>
          <w:b/>
          <w:bCs/>
          <w:spacing w:val="-5"/>
          <w:sz w:val="32"/>
          <w:szCs w:val="32"/>
        </w:rPr>
        <w:t xml:space="preserve"> </w:t>
      </w:r>
      <w:r w:rsidRPr="005B2E9B">
        <w:rPr>
          <w:b/>
          <w:bCs/>
          <w:sz w:val="32"/>
          <w:szCs w:val="32"/>
        </w:rPr>
        <w:t>European</w:t>
      </w:r>
      <w:r w:rsidRPr="005B2E9B">
        <w:rPr>
          <w:b/>
          <w:bCs/>
          <w:spacing w:val="-7"/>
          <w:sz w:val="32"/>
          <w:szCs w:val="32"/>
        </w:rPr>
        <w:t xml:space="preserve"> </w:t>
      </w:r>
      <w:r w:rsidRPr="005B2E9B">
        <w:rPr>
          <w:b/>
          <w:bCs/>
          <w:sz w:val="32"/>
          <w:szCs w:val="32"/>
        </w:rPr>
        <w:t>Network</w:t>
      </w:r>
      <w:r w:rsidRPr="005B2E9B">
        <w:rPr>
          <w:b/>
          <w:bCs/>
          <w:spacing w:val="-8"/>
          <w:sz w:val="32"/>
          <w:szCs w:val="32"/>
        </w:rPr>
        <w:t xml:space="preserve"> </w:t>
      </w:r>
      <w:r w:rsidRPr="005B2E9B">
        <w:rPr>
          <w:b/>
          <w:bCs/>
          <w:sz w:val="32"/>
          <w:szCs w:val="32"/>
        </w:rPr>
        <w:t>on</w:t>
      </w:r>
      <w:r w:rsidRPr="005B2E9B">
        <w:rPr>
          <w:b/>
          <w:bCs/>
          <w:spacing w:val="-7"/>
          <w:sz w:val="32"/>
          <w:szCs w:val="32"/>
        </w:rPr>
        <w:t xml:space="preserve"> </w:t>
      </w:r>
      <w:r w:rsidRPr="005B2E9B">
        <w:rPr>
          <w:b/>
          <w:bCs/>
          <w:sz w:val="32"/>
          <w:szCs w:val="32"/>
        </w:rPr>
        <w:t>Independent</w:t>
      </w:r>
      <w:r w:rsidRPr="005B2E9B">
        <w:rPr>
          <w:b/>
          <w:bCs/>
          <w:spacing w:val="-9"/>
          <w:sz w:val="32"/>
          <w:szCs w:val="32"/>
        </w:rPr>
        <w:t xml:space="preserve"> </w:t>
      </w:r>
      <w:r w:rsidRPr="005B2E9B">
        <w:rPr>
          <w:b/>
          <w:bCs/>
          <w:spacing w:val="-2"/>
          <w:sz w:val="32"/>
          <w:szCs w:val="32"/>
        </w:rPr>
        <w:t>Living</w:t>
      </w:r>
    </w:p>
    <w:p w14:paraId="0DF09F27" w14:textId="77777777" w:rsidR="00161C10" w:rsidRDefault="00CE2C8C">
      <w:pPr>
        <w:pStyle w:val="BodyText"/>
        <w:spacing w:before="169" w:line="276" w:lineRule="auto"/>
        <w:ind w:left="360" w:right="350"/>
        <w:jc w:val="both"/>
      </w:pPr>
      <w:r>
        <w:t xml:space="preserve">The European Network on Independent Living (ENIL) is a Europe-wide network of disabled people, with members throughout Europe. ENIL is a forum for all disabled people, Independent Living </w:t>
      </w:r>
      <w:proofErr w:type="spellStart"/>
      <w:r>
        <w:t>organisations</w:t>
      </w:r>
      <w:proofErr w:type="spellEnd"/>
      <w:r>
        <w:t xml:space="preserve"> and their non-disabled allies on the issues of Independent</w:t>
      </w:r>
      <w:r>
        <w:rPr>
          <w:spacing w:val="-10"/>
        </w:rPr>
        <w:t xml:space="preserve"> </w:t>
      </w:r>
      <w:r>
        <w:t>Living.</w:t>
      </w:r>
      <w:r>
        <w:rPr>
          <w:spacing w:val="-10"/>
        </w:rPr>
        <w:t xml:space="preserve"> </w:t>
      </w:r>
      <w:r>
        <w:t>ENIL</w:t>
      </w:r>
      <w:r>
        <w:rPr>
          <w:spacing w:val="-7"/>
        </w:rPr>
        <w:t xml:space="preserve"> </w:t>
      </w:r>
      <w:r>
        <w:t>represents</w:t>
      </w:r>
      <w:r>
        <w:rPr>
          <w:spacing w:val="-10"/>
        </w:rPr>
        <w:t xml:space="preserve"> </w:t>
      </w:r>
      <w:r>
        <w:t>the</w:t>
      </w:r>
      <w:r>
        <w:rPr>
          <w:spacing w:val="-9"/>
        </w:rPr>
        <w:t xml:space="preserve"> </w:t>
      </w:r>
      <w:r>
        <w:t>disability</w:t>
      </w:r>
      <w:r>
        <w:rPr>
          <w:spacing w:val="-8"/>
        </w:rPr>
        <w:t xml:space="preserve"> </w:t>
      </w:r>
      <w:r>
        <w:t>movement</w:t>
      </w:r>
      <w:r>
        <w:rPr>
          <w:spacing w:val="-10"/>
        </w:rPr>
        <w:t xml:space="preserve"> </w:t>
      </w:r>
      <w:r>
        <w:t>for</w:t>
      </w:r>
      <w:r>
        <w:rPr>
          <w:spacing w:val="-8"/>
        </w:rPr>
        <w:t xml:space="preserve"> </w:t>
      </w:r>
      <w:r>
        <w:t>human</w:t>
      </w:r>
      <w:r>
        <w:rPr>
          <w:spacing w:val="-7"/>
        </w:rPr>
        <w:t xml:space="preserve"> </w:t>
      </w:r>
      <w:r>
        <w:t>rights</w:t>
      </w:r>
      <w:r>
        <w:rPr>
          <w:spacing w:val="-10"/>
        </w:rPr>
        <w:t xml:space="preserve"> </w:t>
      </w:r>
      <w:r>
        <w:t>and</w:t>
      </w:r>
      <w:r>
        <w:rPr>
          <w:spacing w:val="-9"/>
        </w:rPr>
        <w:t xml:space="preserve"> </w:t>
      </w:r>
      <w:r>
        <w:t xml:space="preserve">social inclusion based on solidarity, peer support, deinstitutionalisation, democracy, self- representation, cross disability and self-determination. </w:t>
      </w:r>
      <w:r>
        <w:rPr>
          <w:rFonts w:ascii="Arial"/>
          <w:b/>
        </w:rPr>
        <w:t>For more information, see</w:t>
      </w:r>
      <w:r>
        <w:t xml:space="preserve">: </w:t>
      </w:r>
      <w:hyperlink r:id="rId120">
        <w:r>
          <w:rPr>
            <w:color w:val="4F81BC"/>
            <w:u w:val="single" w:color="4F81BC"/>
          </w:rPr>
          <w:t>www.enil.eu</w:t>
        </w:r>
      </w:hyperlink>
      <w:r>
        <w:rPr>
          <w:rFonts w:ascii="Arial"/>
          <w:b/>
        </w:rPr>
        <w:t>. Contact person</w:t>
      </w:r>
      <w:r>
        <w:t xml:space="preserve">: Rita Crespo Fernandez, </w:t>
      </w:r>
      <w:hyperlink r:id="rId121">
        <w:r>
          <w:rPr>
            <w:color w:val="0000FF"/>
            <w:u w:val="single" w:color="0000FF"/>
          </w:rPr>
          <w:t>rita.crespo-fernandez@enil.eu</w:t>
        </w:r>
      </w:hyperlink>
    </w:p>
    <w:p w14:paraId="63164341" w14:textId="77777777" w:rsidR="00161C10" w:rsidRDefault="00161C10">
      <w:pPr>
        <w:pStyle w:val="BodyText"/>
        <w:rPr>
          <w:sz w:val="20"/>
        </w:rPr>
      </w:pPr>
    </w:p>
    <w:p w14:paraId="681EF545" w14:textId="77777777" w:rsidR="00161C10" w:rsidRDefault="00CE2C8C">
      <w:pPr>
        <w:pStyle w:val="BodyText"/>
        <w:spacing w:before="72"/>
        <w:rPr>
          <w:sz w:val="20"/>
        </w:rPr>
      </w:pPr>
      <w:r>
        <w:rPr>
          <w:noProof/>
          <w:sz w:val="20"/>
        </w:rPr>
        <w:drawing>
          <wp:anchor distT="0" distB="0" distL="0" distR="0" simplePos="0" relativeHeight="487606272" behindDoc="1" locked="0" layoutInCell="1" allowOverlap="1" wp14:anchorId="1ADB0234" wp14:editId="5EF04B79">
            <wp:simplePos x="0" y="0"/>
            <wp:positionH relativeFrom="page">
              <wp:posOffset>933450</wp:posOffset>
            </wp:positionH>
            <wp:positionV relativeFrom="paragraph">
              <wp:posOffset>207298</wp:posOffset>
            </wp:positionV>
            <wp:extent cx="2423570" cy="521207"/>
            <wp:effectExtent l="0" t="0" r="0" b="0"/>
            <wp:wrapTopAndBottom/>
            <wp:docPr id="51" name="Image 51" descr="Blue text on a white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Blue text on a white background  Description automatically generated"/>
                    <pic:cNvPicPr/>
                  </pic:nvPicPr>
                  <pic:blipFill>
                    <a:blip r:embed="rId122" cstate="print"/>
                    <a:stretch>
                      <a:fillRect/>
                    </a:stretch>
                  </pic:blipFill>
                  <pic:spPr>
                    <a:xfrm>
                      <a:off x="0" y="0"/>
                      <a:ext cx="2423570" cy="521207"/>
                    </a:xfrm>
                    <a:prstGeom prst="rect">
                      <a:avLst/>
                    </a:prstGeom>
                  </pic:spPr>
                </pic:pic>
              </a:graphicData>
            </a:graphic>
          </wp:anchor>
        </w:drawing>
      </w:r>
      <w:r>
        <w:rPr>
          <w:noProof/>
          <w:sz w:val="20"/>
        </w:rPr>
        <w:drawing>
          <wp:anchor distT="0" distB="0" distL="0" distR="0" simplePos="0" relativeHeight="487606784" behindDoc="1" locked="0" layoutInCell="1" allowOverlap="1" wp14:anchorId="438C3ED8" wp14:editId="7653AECB">
            <wp:simplePos x="0" y="0"/>
            <wp:positionH relativeFrom="page">
              <wp:posOffset>3428491</wp:posOffset>
            </wp:positionH>
            <wp:positionV relativeFrom="paragraph">
              <wp:posOffset>269528</wp:posOffset>
            </wp:positionV>
            <wp:extent cx="2238206" cy="461009"/>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23" cstate="print"/>
                    <a:stretch>
                      <a:fillRect/>
                    </a:stretch>
                  </pic:blipFill>
                  <pic:spPr>
                    <a:xfrm>
                      <a:off x="0" y="0"/>
                      <a:ext cx="2238206" cy="461009"/>
                    </a:xfrm>
                    <a:prstGeom prst="rect">
                      <a:avLst/>
                    </a:prstGeom>
                  </pic:spPr>
                </pic:pic>
              </a:graphicData>
            </a:graphic>
          </wp:anchor>
        </w:drawing>
      </w:r>
    </w:p>
    <w:p w14:paraId="06B43E0C" w14:textId="77777777" w:rsidR="00161C10" w:rsidRDefault="00CE2C8C">
      <w:pPr>
        <w:spacing w:before="154" w:line="276" w:lineRule="auto"/>
        <w:ind w:left="358" w:right="352" w:hanging="10"/>
        <w:jc w:val="both"/>
        <w:rPr>
          <w:rFonts w:ascii="Arial"/>
          <w:i/>
        </w:rPr>
      </w:pPr>
      <w:r>
        <w:rPr>
          <w:rFonts w:ascii="Arial"/>
          <w:i/>
        </w:rPr>
        <w:t xml:space="preserve">Co-funded by the European Union. Views and opinions expressed are however those of the author(s) only and do not necessarily reflect those of the European Union or the European Commission. Neither the European Union nor the granting authority can be held responsible for </w:t>
      </w:r>
      <w:r>
        <w:rPr>
          <w:rFonts w:ascii="Arial"/>
          <w:i/>
          <w:spacing w:val="-2"/>
        </w:rPr>
        <w:t>them.</w:t>
      </w:r>
    </w:p>
    <w:p w14:paraId="4BBD0E00" w14:textId="77777777" w:rsidR="00161C10" w:rsidRDefault="00161C10">
      <w:pPr>
        <w:spacing w:line="276" w:lineRule="auto"/>
        <w:jc w:val="both"/>
        <w:rPr>
          <w:rFonts w:ascii="Arial"/>
          <w:i/>
        </w:rPr>
        <w:sectPr w:rsidR="00161C10">
          <w:pgSz w:w="12240" w:h="15840"/>
          <w:pgMar w:top="1360" w:right="1080" w:bottom="1540" w:left="1080" w:header="0" w:footer="1274" w:gutter="0"/>
          <w:cols w:space="720"/>
        </w:sectPr>
      </w:pPr>
    </w:p>
    <w:p w14:paraId="2ECF0652" w14:textId="77777777" w:rsidR="00161C10" w:rsidRPr="005B2E9B" w:rsidRDefault="00CE2C8C" w:rsidP="005B2E9B">
      <w:pPr>
        <w:pStyle w:val="Heading1"/>
        <w:rPr>
          <w:rFonts w:asciiTheme="minorHAnsi" w:hAnsiTheme="minorHAnsi" w:cstheme="minorHAnsi"/>
        </w:rPr>
      </w:pPr>
      <w:r w:rsidRPr="005B2E9B">
        <w:rPr>
          <w:rFonts w:asciiTheme="minorHAnsi" w:hAnsiTheme="minorHAnsi" w:cstheme="minorHAnsi"/>
        </w:rPr>
        <w:lastRenderedPageBreak/>
        <w:t>Annex</w:t>
      </w:r>
      <w:r w:rsidRPr="005B2E9B">
        <w:rPr>
          <w:rFonts w:asciiTheme="minorHAnsi" w:hAnsiTheme="minorHAnsi" w:cstheme="minorHAnsi"/>
          <w:spacing w:val="-6"/>
        </w:rPr>
        <w:t xml:space="preserve"> </w:t>
      </w:r>
      <w:r w:rsidRPr="005B2E9B">
        <w:rPr>
          <w:rFonts w:asciiTheme="minorHAnsi" w:hAnsiTheme="minorHAnsi" w:cstheme="minorHAnsi"/>
          <w:spacing w:val="-10"/>
        </w:rPr>
        <w:t>I</w:t>
      </w:r>
    </w:p>
    <w:p w14:paraId="573235FA" w14:textId="77777777" w:rsidR="00161C10" w:rsidRPr="005B2E9B" w:rsidRDefault="00CE2C8C" w:rsidP="005B2E9B">
      <w:pPr>
        <w:jc w:val="center"/>
        <w:rPr>
          <w:rFonts w:asciiTheme="minorHAnsi" w:hAnsiTheme="minorHAnsi" w:cstheme="minorHAnsi"/>
          <w:b/>
          <w:bCs/>
          <w:sz w:val="28"/>
          <w:szCs w:val="28"/>
        </w:rPr>
      </w:pPr>
      <w:r w:rsidRPr="005B2E9B">
        <w:rPr>
          <w:rFonts w:asciiTheme="minorHAnsi" w:hAnsiTheme="minorHAnsi" w:cstheme="minorHAnsi"/>
          <w:b/>
          <w:bCs/>
          <w:sz w:val="28"/>
          <w:szCs w:val="28"/>
        </w:rPr>
        <w:t>Common understanding of the horizontal enabling condition on the implementation</w:t>
      </w:r>
      <w:r w:rsidRPr="005B2E9B">
        <w:rPr>
          <w:rFonts w:asciiTheme="minorHAnsi" w:hAnsiTheme="minorHAnsi" w:cstheme="minorHAnsi"/>
          <w:b/>
          <w:bCs/>
          <w:spacing w:val="-7"/>
          <w:sz w:val="28"/>
          <w:szCs w:val="28"/>
        </w:rPr>
        <w:t xml:space="preserve"> </w:t>
      </w:r>
      <w:r w:rsidRPr="005B2E9B">
        <w:rPr>
          <w:rFonts w:asciiTheme="minorHAnsi" w:hAnsiTheme="minorHAnsi" w:cstheme="minorHAnsi"/>
          <w:b/>
          <w:bCs/>
          <w:sz w:val="28"/>
          <w:szCs w:val="28"/>
        </w:rPr>
        <w:t>and</w:t>
      </w:r>
      <w:r w:rsidRPr="005B2E9B">
        <w:rPr>
          <w:rFonts w:asciiTheme="minorHAnsi" w:hAnsiTheme="minorHAnsi" w:cstheme="minorHAnsi"/>
          <w:b/>
          <w:bCs/>
          <w:spacing w:val="-13"/>
          <w:sz w:val="28"/>
          <w:szCs w:val="28"/>
        </w:rPr>
        <w:t xml:space="preserve"> </w:t>
      </w:r>
      <w:r w:rsidRPr="005B2E9B">
        <w:rPr>
          <w:rFonts w:asciiTheme="minorHAnsi" w:hAnsiTheme="minorHAnsi" w:cstheme="minorHAnsi"/>
          <w:b/>
          <w:bCs/>
          <w:sz w:val="28"/>
          <w:szCs w:val="28"/>
        </w:rPr>
        <w:t>application</w:t>
      </w:r>
      <w:r w:rsidRPr="005B2E9B">
        <w:rPr>
          <w:rFonts w:asciiTheme="minorHAnsi" w:hAnsiTheme="minorHAnsi" w:cstheme="minorHAnsi"/>
          <w:b/>
          <w:bCs/>
          <w:spacing w:val="-7"/>
          <w:sz w:val="28"/>
          <w:szCs w:val="28"/>
        </w:rPr>
        <w:t xml:space="preserve"> </w:t>
      </w:r>
      <w:r w:rsidRPr="005B2E9B">
        <w:rPr>
          <w:rFonts w:asciiTheme="minorHAnsi" w:hAnsiTheme="minorHAnsi" w:cstheme="minorHAnsi"/>
          <w:b/>
          <w:bCs/>
          <w:sz w:val="28"/>
          <w:szCs w:val="28"/>
        </w:rPr>
        <w:t>of</w:t>
      </w:r>
      <w:r w:rsidRPr="005B2E9B">
        <w:rPr>
          <w:rFonts w:asciiTheme="minorHAnsi" w:hAnsiTheme="minorHAnsi" w:cstheme="minorHAnsi"/>
          <w:b/>
          <w:bCs/>
          <w:spacing w:val="-10"/>
          <w:sz w:val="28"/>
          <w:szCs w:val="28"/>
        </w:rPr>
        <w:t xml:space="preserve"> </w:t>
      </w:r>
      <w:r w:rsidRPr="005B2E9B">
        <w:rPr>
          <w:rFonts w:asciiTheme="minorHAnsi" w:hAnsiTheme="minorHAnsi" w:cstheme="minorHAnsi"/>
          <w:b/>
          <w:bCs/>
          <w:sz w:val="28"/>
          <w:szCs w:val="28"/>
        </w:rPr>
        <w:t>the</w:t>
      </w:r>
      <w:r w:rsidRPr="005B2E9B">
        <w:rPr>
          <w:rFonts w:asciiTheme="minorHAnsi" w:hAnsiTheme="minorHAnsi" w:cstheme="minorHAnsi"/>
          <w:b/>
          <w:bCs/>
          <w:spacing w:val="-7"/>
          <w:sz w:val="28"/>
          <w:szCs w:val="28"/>
        </w:rPr>
        <w:t xml:space="preserve"> </w:t>
      </w:r>
      <w:r w:rsidRPr="005B2E9B">
        <w:rPr>
          <w:rFonts w:asciiTheme="minorHAnsi" w:hAnsiTheme="minorHAnsi" w:cstheme="minorHAnsi"/>
          <w:b/>
          <w:bCs/>
          <w:sz w:val="28"/>
          <w:szCs w:val="28"/>
        </w:rPr>
        <w:t>United</w:t>
      </w:r>
      <w:r w:rsidRPr="005B2E9B">
        <w:rPr>
          <w:rFonts w:asciiTheme="minorHAnsi" w:hAnsiTheme="minorHAnsi" w:cstheme="minorHAnsi"/>
          <w:b/>
          <w:bCs/>
          <w:spacing w:val="-5"/>
          <w:sz w:val="28"/>
          <w:szCs w:val="28"/>
        </w:rPr>
        <w:t xml:space="preserve"> </w:t>
      </w:r>
      <w:r w:rsidRPr="005B2E9B">
        <w:rPr>
          <w:rFonts w:asciiTheme="minorHAnsi" w:hAnsiTheme="minorHAnsi" w:cstheme="minorHAnsi"/>
          <w:b/>
          <w:bCs/>
          <w:sz w:val="28"/>
          <w:szCs w:val="28"/>
        </w:rPr>
        <w:t>Nations</w:t>
      </w:r>
      <w:r w:rsidRPr="005B2E9B">
        <w:rPr>
          <w:rFonts w:asciiTheme="minorHAnsi" w:hAnsiTheme="minorHAnsi" w:cstheme="minorHAnsi"/>
          <w:b/>
          <w:bCs/>
          <w:spacing w:val="-6"/>
          <w:sz w:val="28"/>
          <w:szCs w:val="28"/>
        </w:rPr>
        <w:t xml:space="preserve"> </w:t>
      </w:r>
      <w:r w:rsidRPr="005B2E9B">
        <w:rPr>
          <w:rFonts w:asciiTheme="minorHAnsi" w:hAnsiTheme="minorHAnsi" w:cstheme="minorHAnsi"/>
          <w:b/>
          <w:bCs/>
          <w:sz w:val="28"/>
          <w:szCs w:val="28"/>
        </w:rPr>
        <w:t>Convention</w:t>
      </w:r>
      <w:r w:rsidRPr="005B2E9B">
        <w:rPr>
          <w:rFonts w:asciiTheme="minorHAnsi" w:hAnsiTheme="minorHAnsi" w:cstheme="minorHAnsi"/>
          <w:b/>
          <w:bCs/>
          <w:spacing w:val="-8"/>
          <w:sz w:val="28"/>
          <w:szCs w:val="28"/>
        </w:rPr>
        <w:t xml:space="preserve"> </w:t>
      </w:r>
      <w:r w:rsidRPr="005B2E9B">
        <w:rPr>
          <w:rFonts w:asciiTheme="minorHAnsi" w:hAnsiTheme="minorHAnsi" w:cstheme="minorHAnsi"/>
          <w:b/>
          <w:bCs/>
          <w:sz w:val="28"/>
          <w:szCs w:val="28"/>
        </w:rPr>
        <w:t>on</w:t>
      </w:r>
      <w:r w:rsidRPr="005B2E9B">
        <w:rPr>
          <w:rFonts w:asciiTheme="minorHAnsi" w:hAnsiTheme="minorHAnsi" w:cstheme="minorHAnsi"/>
          <w:b/>
          <w:bCs/>
          <w:spacing w:val="-8"/>
          <w:sz w:val="28"/>
          <w:szCs w:val="28"/>
        </w:rPr>
        <w:t xml:space="preserve"> </w:t>
      </w:r>
      <w:r w:rsidRPr="005B2E9B">
        <w:rPr>
          <w:rFonts w:asciiTheme="minorHAnsi" w:hAnsiTheme="minorHAnsi" w:cstheme="minorHAnsi"/>
          <w:b/>
          <w:bCs/>
          <w:sz w:val="28"/>
          <w:szCs w:val="28"/>
        </w:rPr>
        <w:t>the rights of persons with disabilities (UNCRPD) in accordance with Council Decision 2010/48/EC</w:t>
      </w:r>
    </w:p>
    <w:p w14:paraId="3C4DAEE2" w14:textId="77777777" w:rsidR="00161C10" w:rsidRDefault="00CE2C8C">
      <w:pPr>
        <w:pStyle w:val="BodyText"/>
        <w:spacing w:before="11"/>
        <w:rPr>
          <w:rFonts w:ascii="Calibri"/>
          <w:b/>
          <w:sz w:val="12"/>
        </w:rPr>
      </w:pPr>
      <w:r>
        <w:rPr>
          <w:rFonts w:ascii="Calibri"/>
          <w:b/>
          <w:noProof/>
          <w:sz w:val="12"/>
        </w:rPr>
        <mc:AlternateContent>
          <mc:Choice Requires="wps">
            <w:drawing>
              <wp:anchor distT="0" distB="0" distL="0" distR="0" simplePos="0" relativeHeight="487607296" behindDoc="1" locked="0" layoutInCell="1" allowOverlap="1" wp14:anchorId="0365A925" wp14:editId="6E16AC9B">
                <wp:simplePos x="0" y="0"/>
                <wp:positionH relativeFrom="page">
                  <wp:posOffset>1208405</wp:posOffset>
                </wp:positionH>
                <wp:positionV relativeFrom="paragraph">
                  <wp:posOffset>120633</wp:posOffset>
                </wp:positionV>
                <wp:extent cx="5134610" cy="182562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4610" cy="1825625"/>
                        </a:xfrm>
                        <a:prstGeom prst="rect">
                          <a:avLst/>
                        </a:prstGeom>
                        <a:ln w="9525">
                          <a:solidFill>
                            <a:srgbClr val="000000"/>
                          </a:solidFill>
                          <a:prstDash val="solid"/>
                        </a:ln>
                      </wps:spPr>
                      <wps:txbx>
                        <w:txbxContent>
                          <w:p w14:paraId="47D549C7" w14:textId="77777777" w:rsidR="00161C10" w:rsidRDefault="00CE2C8C">
                            <w:pPr>
                              <w:spacing w:before="133"/>
                              <w:ind w:left="3641" w:hanging="3138"/>
                              <w:rPr>
                                <w:rFonts w:ascii="Calibri"/>
                              </w:rPr>
                            </w:pPr>
                            <w:r>
                              <w:rPr>
                                <w:rFonts w:ascii="Calibri"/>
                              </w:rPr>
                              <w:t>A</w:t>
                            </w:r>
                            <w:r>
                              <w:rPr>
                                <w:rFonts w:ascii="Calibri"/>
                                <w:spacing w:val="-10"/>
                              </w:rPr>
                              <w:t xml:space="preserve"> </w:t>
                            </w:r>
                            <w:r>
                              <w:rPr>
                                <w:rFonts w:ascii="Calibri"/>
                              </w:rPr>
                              <w:t>national</w:t>
                            </w:r>
                            <w:r>
                              <w:rPr>
                                <w:rFonts w:ascii="Calibri"/>
                                <w:spacing w:val="-4"/>
                              </w:rPr>
                              <w:t xml:space="preserve"> </w:t>
                            </w:r>
                            <w:r>
                              <w:rPr>
                                <w:rFonts w:ascii="Calibri"/>
                              </w:rPr>
                              <w:t>framework</w:t>
                            </w:r>
                            <w:r>
                              <w:rPr>
                                <w:rFonts w:ascii="Calibri"/>
                                <w:spacing w:val="-6"/>
                              </w:rPr>
                              <w:t xml:space="preserve"> </w:t>
                            </w:r>
                            <w:r>
                              <w:rPr>
                                <w:rFonts w:ascii="Calibri"/>
                              </w:rPr>
                              <w:t>to</w:t>
                            </w:r>
                            <w:r>
                              <w:rPr>
                                <w:rFonts w:ascii="Calibri"/>
                                <w:spacing w:val="-8"/>
                              </w:rPr>
                              <w:t xml:space="preserve"> </w:t>
                            </w:r>
                            <w:r>
                              <w:rPr>
                                <w:rFonts w:ascii="Calibri"/>
                              </w:rPr>
                              <w:t>ensure</w:t>
                            </w:r>
                            <w:r>
                              <w:rPr>
                                <w:rFonts w:ascii="Calibri"/>
                                <w:spacing w:val="-4"/>
                              </w:rPr>
                              <w:t xml:space="preserve"> </w:t>
                            </w:r>
                            <w:r>
                              <w:rPr>
                                <w:rFonts w:ascii="Calibri"/>
                              </w:rPr>
                              <w:t>implementation</w:t>
                            </w:r>
                            <w:r>
                              <w:rPr>
                                <w:rFonts w:ascii="Calibri"/>
                                <w:spacing w:val="-8"/>
                              </w:rPr>
                              <w:t xml:space="preserve"> </w:t>
                            </w:r>
                            <w:r>
                              <w:rPr>
                                <w:rFonts w:ascii="Calibri"/>
                              </w:rPr>
                              <w:t>of</w:t>
                            </w:r>
                            <w:r>
                              <w:rPr>
                                <w:rFonts w:ascii="Calibri"/>
                                <w:spacing w:val="-9"/>
                              </w:rPr>
                              <w:t xml:space="preserve"> </w:t>
                            </w:r>
                            <w:r>
                              <w:rPr>
                                <w:rFonts w:ascii="Calibri"/>
                              </w:rPr>
                              <w:t>the</w:t>
                            </w:r>
                            <w:r>
                              <w:rPr>
                                <w:rFonts w:ascii="Calibri"/>
                                <w:spacing w:val="-7"/>
                              </w:rPr>
                              <w:t xml:space="preserve"> </w:t>
                            </w:r>
                            <w:r>
                              <w:rPr>
                                <w:rFonts w:ascii="Calibri"/>
                              </w:rPr>
                              <w:t>UNCRPD</w:t>
                            </w:r>
                            <w:r>
                              <w:rPr>
                                <w:rFonts w:ascii="Calibri"/>
                                <w:spacing w:val="-5"/>
                              </w:rPr>
                              <w:t xml:space="preserve"> </w:t>
                            </w:r>
                            <w:r>
                              <w:rPr>
                                <w:rFonts w:ascii="Calibri"/>
                              </w:rPr>
                              <w:t>is</w:t>
                            </w:r>
                            <w:r>
                              <w:rPr>
                                <w:rFonts w:ascii="Calibri"/>
                                <w:spacing w:val="-9"/>
                              </w:rPr>
                              <w:t xml:space="preserve"> </w:t>
                            </w:r>
                            <w:r>
                              <w:rPr>
                                <w:rFonts w:ascii="Calibri"/>
                              </w:rPr>
                              <w:t>in</w:t>
                            </w:r>
                            <w:r>
                              <w:rPr>
                                <w:rFonts w:ascii="Calibri"/>
                                <w:spacing w:val="-7"/>
                              </w:rPr>
                              <w:t xml:space="preserve"> </w:t>
                            </w:r>
                            <w:r>
                              <w:rPr>
                                <w:rFonts w:ascii="Calibri"/>
                              </w:rPr>
                              <w:t>place</w:t>
                            </w:r>
                            <w:r>
                              <w:rPr>
                                <w:rFonts w:ascii="Calibri"/>
                                <w:spacing w:val="-7"/>
                              </w:rPr>
                              <w:t xml:space="preserve"> </w:t>
                            </w:r>
                            <w:r>
                              <w:rPr>
                                <w:rFonts w:ascii="Calibri"/>
                              </w:rPr>
                              <w:t xml:space="preserve">that </w:t>
                            </w:r>
                            <w:r>
                              <w:rPr>
                                <w:rFonts w:ascii="Calibri"/>
                                <w:spacing w:val="-2"/>
                              </w:rPr>
                              <w:t>includes:</w:t>
                            </w:r>
                          </w:p>
                          <w:p w14:paraId="5C7C31BB" w14:textId="77777777" w:rsidR="00161C10" w:rsidRDefault="00CE2C8C">
                            <w:pPr>
                              <w:numPr>
                                <w:ilvl w:val="0"/>
                                <w:numId w:val="4"/>
                              </w:numPr>
                              <w:tabs>
                                <w:tab w:val="left" w:pos="680"/>
                              </w:tabs>
                              <w:spacing w:before="58"/>
                              <w:ind w:left="680" w:hanging="351"/>
                              <w:jc w:val="left"/>
                              <w:rPr>
                                <w:rFonts w:ascii="Calibri"/>
                              </w:rPr>
                            </w:pPr>
                            <w:r>
                              <w:rPr>
                                <w:rFonts w:ascii="Calibri"/>
                              </w:rPr>
                              <w:t>Objectives</w:t>
                            </w:r>
                            <w:r>
                              <w:rPr>
                                <w:rFonts w:ascii="Calibri"/>
                                <w:spacing w:val="-15"/>
                              </w:rPr>
                              <w:t xml:space="preserve"> </w:t>
                            </w:r>
                            <w:r>
                              <w:rPr>
                                <w:rFonts w:ascii="Calibri"/>
                              </w:rPr>
                              <w:t>with</w:t>
                            </w:r>
                            <w:r>
                              <w:rPr>
                                <w:rFonts w:ascii="Calibri"/>
                                <w:spacing w:val="-11"/>
                              </w:rPr>
                              <w:t xml:space="preserve"> </w:t>
                            </w:r>
                            <w:r>
                              <w:rPr>
                                <w:rFonts w:ascii="Calibri"/>
                              </w:rPr>
                              <w:t>measurable</w:t>
                            </w:r>
                            <w:r>
                              <w:rPr>
                                <w:rFonts w:ascii="Calibri"/>
                                <w:spacing w:val="-8"/>
                              </w:rPr>
                              <w:t xml:space="preserve"> </w:t>
                            </w:r>
                            <w:r>
                              <w:rPr>
                                <w:rFonts w:ascii="Calibri"/>
                              </w:rPr>
                              <w:t>goals,</w:t>
                            </w:r>
                            <w:r>
                              <w:rPr>
                                <w:rFonts w:ascii="Calibri"/>
                                <w:spacing w:val="-9"/>
                              </w:rPr>
                              <w:t xml:space="preserve"> </w:t>
                            </w:r>
                            <w:r>
                              <w:rPr>
                                <w:rFonts w:ascii="Calibri"/>
                              </w:rPr>
                              <w:t>data</w:t>
                            </w:r>
                            <w:r>
                              <w:rPr>
                                <w:rFonts w:ascii="Calibri"/>
                                <w:spacing w:val="-11"/>
                              </w:rPr>
                              <w:t xml:space="preserve"> </w:t>
                            </w:r>
                            <w:r>
                              <w:rPr>
                                <w:rFonts w:ascii="Calibri"/>
                              </w:rPr>
                              <w:t>collection</w:t>
                            </w:r>
                            <w:r>
                              <w:rPr>
                                <w:rFonts w:ascii="Calibri"/>
                                <w:spacing w:val="-9"/>
                              </w:rPr>
                              <w:t xml:space="preserve"> </w:t>
                            </w:r>
                            <w:r>
                              <w:rPr>
                                <w:rFonts w:ascii="Calibri"/>
                              </w:rPr>
                              <w:t>and</w:t>
                            </w:r>
                            <w:r>
                              <w:rPr>
                                <w:rFonts w:ascii="Calibri"/>
                                <w:spacing w:val="-12"/>
                              </w:rPr>
                              <w:t xml:space="preserve"> </w:t>
                            </w:r>
                            <w:r>
                              <w:rPr>
                                <w:rFonts w:ascii="Calibri"/>
                              </w:rPr>
                              <w:t>monitoring</w:t>
                            </w:r>
                            <w:r>
                              <w:rPr>
                                <w:rFonts w:ascii="Calibri"/>
                                <w:spacing w:val="-6"/>
                              </w:rPr>
                              <w:t xml:space="preserve"> </w:t>
                            </w:r>
                            <w:r>
                              <w:rPr>
                                <w:rFonts w:ascii="Calibri"/>
                                <w:spacing w:val="-2"/>
                              </w:rPr>
                              <w:t>mechanisms.</w:t>
                            </w:r>
                          </w:p>
                          <w:p w14:paraId="238CB5FE" w14:textId="77777777" w:rsidR="00161C10" w:rsidRDefault="00CE2C8C">
                            <w:pPr>
                              <w:numPr>
                                <w:ilvl w:val="0"/>
                                <w:numId w:val="4"/>
                              </w:numPr>
                              <w:tabs>
                                <w:tab w:val="left" w:pos="559"/>
                                <w:tab w:val="left" w:pos="720"/>
                              </w:tabs>
                              <w:spacing w:before="63"/>
                              <w:ind w:left="720" w:right="246" w:hanging="512"/>
                              <w:jc w:val="left"/>
                              <w:rPr>
                                <w:rFonts w:ascii="Calibri"/>
                              </w:rPr>
                            </w:pPr>
                            <w:r>
                              <w:rPr>
                                <w:rFonts w:ascii="Calibri"/>
                              </w:rPr>
                              <w:t>Arrangements</w:t>
                            </w:r>
                            <w:r>
                              <w:rPr>
                                <w:rFonts w:ascii="Calibri"/>
                                <w:spacing w:val="-9"/>
                              </w:rPr>
                              <w:t xml:space="preserve"> </w:t>
                            </w:r>
                            <w:r>
                              <w:rPr>
                                <w:rFonts w:ascii="Calibri"/>
                              </w:rPr>
                              <w:t>to</w:t>
                            </w:r>
                            <w:r>
                              <w:rPr>
                                <w:rFonts w:ascii="Calibri"/>
                                <w:spacing w:val="-11"/>
                              </w:rPr>
                              <w:t xml:space="preserve"> </w:t>
                            </w:r>
                            <w:r>
                              <w:rPr>
                                <w:rFonts w:ascii="Calibri"/>
                              </w:rPr>
                              <w:t>ensure</w:t>
                            </w:r>
                            <w:r>
                              <w:rPr>
                                <w:rFonts w:ascii="Calibri"/>
                                <w:spacing w:val="-8"/>
                              </w:rPr>
                              <w:t xml:space="preserve"> </w:t>
                            </w:r>
                            <w:r>
                              <w:rPr>
                                <w:rFonts w:ascii="Calibri"/>
                              </w:rPr>
                              <w:t>that</w:t>
                            </w:r>
                            <w:r>
                              <w:rPr>
                                <w:rFonts w:ascii="Calibri"/>
                                <w:spacing w:val="-8"/>
                              </w:rPr>
                              <w:t xml:space="preserve"> </w:t>
                            </w:r>
                            <w:r>
                              <w:rPr>
                                <w:rFonts w:ascii="Calibri"/>
                              </w:rPr>
                              <w:t>the</w:t>
                            </w:r>
                            <w:r>
                              <w:rPr>
                                <w:rFonts w:ascii="Calibri"/>
                                <w:spacing w:val="-8"/>
                              </w:rPr>
                              <w:t xml:space="preserve"> </w:t>
                            </w:r>
                            <w:r>
                              <w:rPr>
                                <w:rFonts w:ascii="Calibri"/>
                              </w:rPr>
                              <w:t>accessibility</w:t>
                            </w:r>
                            <w:r>
                              <w:rPr>
                                <w:rFonts w:ascii="Calibri"/>
                                <w:spacing w:val="-7"/>
                              </w:rPr>
                              <w:t xml:space="preserve"> </w:t>
                            </w:r>
                            <w:r>
                              <w:rPr>
                                <w:rFonts w:ascii="Calibri"/>
                              </w:rPr>
                              <w:t>policy,</w:t>
                            </w:r>
                            <w:r>
                              <w:rPr>
                                <w:rFonts w:ascii="Calibri"/>
                                <w:spacing w:val="-8"/>
                              </w:rPr>
                              <w:t xml:space="preserve"> </w:t>
                            </w:r>
                            <w:r>
                              <w:rPr>
                                <w:rFonts w:ascii="Calibri"/>
                              </w:rPr>
                              <w:t>legislation</w:t>
                            </w:r>
                            <w:r>
                              <w:rPr>
                                <w:rFonts w:ascii="Calibri"/>
                                <w:spacing w:val="-10"/>
                              </w:rPr>
                              <w:t xml:space="preserve"> </w:t>
                            </w:r>
                            <w:r>
                              <w:rPr>
                                <w:rFonts w:ascii="Calibri"/>
                              </w:rPr>
                              <w:t>and</w:t>
                            </w:r>
                            <w:r>
                              <w:rPr>
                                <w:rFonts w:ascii="Calibri"/>
                                <w:spacing w:val="-5"/>
                              </w:rPr>
                              <w:t xml:space="preserve"> </w:t>
                            </w:r>
                            <w:r>
                              <w:rPr>
                                <w:rFonts w:ascii="Calibri"/>
                              </w:rPr>
                              <w:t>standards</w:t>
                            </w:r>
                            <w:r>
                              <w:rPr>
                                <w:rFonts w:ascii="Calibri"/>
                                <w:spacing w:val="-10"/>
                              </w:rPr>
                              <w:t xml:space="preserve"> </w:t>
                            </w:r>
                            <w:r>
                              <w:rPr>
                                <w:rFonts w:ascii="Calibri"/>
                              </w:rPr>
                              <w:t xml:space="preserve">are properly reflected in the preparation and implementation of the </w:t>
                            </w:r>
                            <w:proofErr w:type="spellStart"/>
                            <w:r>
                              <w:rPr>
                                <w:rFonts w:ascii="Calibri"/>
                              </w:rPr>
                              <w:t>programmes</w:t>
                            </w:r>
                            <w:proofErr w:type="spellEnd"/>
                            <w:r>
                              <w:rPr>
                                <w:rFonts w:ascii="Calibri"/>
                              </w:rPr>
                              <w:t>.</w:t>
                            </w:r>
                          </w:p>
                          <w:p w14:paraId="682E89B1" w14:textId="77777777" w:rsidR="00161C10" w:rsidRDefault="00CE2C8C">
                            <w:pPr>
                              <w:spacing w:before="58"/>
                              <w:ind w:left="989" w:hanging="605"/>
                              <w:rPr>
                                <w:rFonts w:ascii="Calibri"/>
                              </w:rPr>
                            </w:pPr>
                            <w:r>
                              <w:rPr>
                                <w:rFonts w:ascii="Calibri"/>
                              </w:rPr>
                              <w:t>2a.</w:t>
                            </w:r>
                            <w:r>
                              <w:rPr>
                                <w:rFonts w:ascii="Calibri"/>
                                <w:spacing w:val="-9"/>
                              </w:rPr>
                              <w:t xml:space="preserve"> </w:t>
                            </w:r>
                            <w:r>
                              <w:rPr>
                                <w:rFonts w:ascii="Calibri"/>
                              </w:rPr>
                              <w:t>Reporting</w:t>
                            </w:r>
                            <w:r>
                              <w:rPr>
                                <w:rFonts w:ascii="Calibri"/>
                                <w:spacing w:val="-8"/>
                              </w:rPr>
                              <w:t xml:space="preserve"> </w:t>
                            </w:r>
                            <w:r>
                              <w:rPr>
                                <w:rFonts w:ascii="Calibri"/>
                              </w:rPr>
                              <w:t>arrangements</w:t>
                            </w:r>
                            <w:r>
                              <w:rPr>
                                <w:rFonts w:ascii="Calibri"/>
                                <w:spacing w:val="-10"/>
                              </w:rPr>
                              <w:t xml:space="preserve"> </w:t>
                            </w:r>
                            <w:r>
                              <w:rPr>
                                <w:rFonts w:ascii="Calibri"/>
                              </w:rPr>
                              <w:t>to</w:t>
                            </w:r>
                            <w:r>
                              <w:rPr>
                                <w:rFonts w:ascii="Calibri"/>
                                <w:spacing w:val="-10"/>
                              </w:rPr>
                              <w:t xml:space="preserve"> </w:t>
                            </w:r>
                            <w:r>
                              <w:rPr>
                                <w:rFonts w:ascii="Calibri"/>
                              </w:rPr>
                              <w:t>the</w:t>
                            </w:r>
                            <w:r>
                              <w:rPr>
                                <w:rFonts w:ascii="Calibri"/>
                                <w:spacing w:val="-9"/>
                              </w:rPr>
                              <w:t xml:space="preserve"> </w:t>
                            </w:r>
                            <w:r>
                              <w:rPr>
                                <w:rFonts w:ascii="Calibri"/>
                              </w:rPr>
                              <w:t>monitoring</w:t>
                            </w:r>
                            <w:r>
                              <w:rPr>
                                <w:rFonts w:ascii="Calibri"/>
                                <w:spacing w:val="-6"/>
                              </w:rPr>
                              <w:t xml:space="preserve"> </w:t>
                            </w:r>
                            <w:r>
                              <w:rPr>
                                <w:rFonts w:ascii="Calibri"/>
                              </w:rPr>
                              <w:t>committee</w:t>
                            </w:r>
                            <w:r>
                              <w:rPr>
                                <w:rFonts w:ascii="Calibri"/>
                                <w:spacing w:val="-7"/>
                              </w:rPr>
                              <w:t xml:space="preserve"> </w:t>
                            </w:r>
                            <w:r>
                              <w:rPr>
                                <w:rFonts w:ascii="Calibri"/>
                              </w:rPr>
                              <w:t>regarding</w:t>
                            </w:r>
                            <w:r>
                              <w:rPr>
                                <w:rFonts w:ascii="Calibri"/>
                                <w:spacing w:val="-8"/>
                              </w:rPr>
                              <w:t xml:space="preserve"> </w:t>
                            </w:r>
                            <w:r>
                              <w:rPr>
                                <w:rFonts w:ascii="Calibri"/>
                              </w:rPr>
                              <w:t>cases</w:t>
                            </w:r>
                            <w:r>
                              <w:rPr>
                                <w:rFonts w:ascii="Calibri"/>
                                <w:spacing w:val="-10"/>
                              </w:rPr>
                              <w:t xml:space="preserve"> </w:t>
                            </w:r>
                            <w:r>
                              <w:rPr>
                                <w:rFonts w:ascii="Calibri"/>
                              </w:rPr>
                              <w:t>of</w:t>
                            </w:r>
                            <w:r>
                              <w:rPr>
                                <w:rFonts w:ascii="Calibri"/>
                                <w:spacing w:val="-10"/>
                              </w:rPr>
                              <w:t xml:space="preserve"> </w:t>
                            </w:r>
                            <w:r>
                              <w:rPr>
                                <w:rFonts w:ascii="Calibri"/>
                              </w:rPr>
                              <w:t>non- compliance of operations supported by the Funds with the UNCRPD and</w:t>
                            </w:r>
                          </w:p>
                          <w:p w14:paraId="5C6542E3" w14:textId="77777777" w:rsidR="00161C10" w:rsidRDefault="00CE2C8C">
                            <w:pPr>
                              <w:ind w:left="2636" w:hanging="2127"/>
                              <w:rPr>
                                <w:rFonts w:ascii="Calibri"/>
                              </w:rPr>
                            </w:pPr>
                            <w:r>
                              <w:rPr>
                                <w:rFonts w:ascii="Calibri"/>
                              </w:rPr>
                              <w:t>complaints</w:t>
                            </w:r>
                            <w:r>
                              <w:rPr>
                                <w:rFonts w:ascii="Calibri"/>
                                <w:spacing w:val="-10"/>
                              </w:rPr>
                              <w:t xml:space="preserve"> </w:t>
                            </w:r>
                            <w:r>
                              <w:rPr>
                                <w:rFonts w:ascii="Calibri"/>
                              </w:rPr>
                              <w:t>regarding</w:t>
                            </w:r>
                            <w:r>
                              <w:rPr>
                                <w:rFonts w:ascii="Calibri"/>
                                <w:spacing w:val="-9"/>
                              </w:rPr>
                              <w:t xml:space="preserve"> </w:t>
                            </w:r>
                            <w:r>
                              <w:rPr>
                                <w:rFonts w:ascii="Calibri"/>
                              </w:rPr>
                              <w:t>the</w:t>
                            </w:r>
                            <w:r>
                              <w:rPr>
                                <w:rFonts w:ascii="Calibri"/>
                                <w:spacing w:val="-9"/>
                              </w:rPr>
                              <w:t xml:space="preserve"> </w:t>
                            </w:r>
                            <w:r>
                              <w:rPr>
                                <w:rFonts w:ascii="Calibri"/>
                              </w:rPr>
                              <w:t>UNCRPD</w:t>
                            </w:r>
                            <w:r>
                              <w:rPr>
                                <w:rFonts w:ascii="Calibri"/>
                                <w:spacing w:val="-10"/>
                              </w:rPr>
                              <w:t xml:space="preserve"> </w:t>
                            </w:r>
                            <w:r>
                              <w:rPr>
                                <w:rFonts w:ascii="Calibri"/>
                              </w:rPr>
                              <w:t>submitted</w:t>
                            </w:r>
                            <w:r>
                              <w:rPr>
                                <w:rFonts w:ascii="Calibri"/>
                                <w:spacing w:val="-8"/>
                              </w:rPr>
                              <w:t xml:space="preserve"> </w:t>
                            </w:r>
                            <w:r>
                              <w:rPr>
                                <w:rFonts w:ascii="Calibri"/>
                              </w:rPr>
                              <w:t>in</w:t>
                            </w:r>
                            <w:r>
                              <w:rPr>
                                <w:rFonts w:ascii="Calibri"/>
                                <w:spacing w:val="-11"/>
                              </w:rPr>
                              <w:t xml:space="preserve"> </w:t>
                            </w:r>
                            <w:r>
                              <w:rPr>
                                <w:rFonts w:ascii="Calibri"/>
                              </w:rPr>
                              <w:t>accordance</w:t>
                            </w:r>
                            <w:r>
                              <w:rPr>
                                <w:rFonts w:ascii="Calibri"/>
                                <w:spacing w:val="-8"/>
                              </w:rPr>
                              <w:t xml:space="preserve"> </w:t>
                            </w:r>
                            <w:r>
                              <w:rPr>
                                <w:rFonts w:ascii="Calibri"/>
                              </w:rPr>
                              <w:t>with</w:t>
                            </w:r>
                            <w:r>
                              <w:rPr>
                                <w:rFonts w:ascii="Calibri"/>
                                <w:spacing w:val="-10"/>
                              </w:rPr>
                              <w:t xml:space="preserve"> </w:t>
                            </w:r>
                            <w:r>
                              <w:rPr>
                                <w:rFonts w:ascii="Calibri"/>
                              </w:rPr>
                              <w:t>the</w:t>
                            </w:r>
                            <w:r>
                              <w:rPr>
                                <w:rFonts w:ascii="Calibri"/>
                                <w:spacing w:val="-9"/>
                              </w:rPr>
                              <w:t xml:space="preserve"> </w:t>
                            </w:r>
                            <w:r>
                              <w:rPr>
                                <w:rFonts w:ascii="Calibri"/>
                              </w:rPr>
                              <w:t>arrangements made pursuant to Article 63(</w:t>
                            </w:r>
                            <w:proofErr w:type="gramStart"/>
                            <w:r>
                              <w:rPr>
                                <w:rFonts w:ascii="Calibri"/>
                              </w:rPr>
                              <w:t>6)CPR</w:t>
                            </w:r>
                            <w:proofErr w:type="gramEnd"/>
                            <w:r>
                              <w:rPr>
                                <w:rFonts w:ascii="Calibri"/>
                              </w:rPr>
                              <w:t>.</w:t>
                            </w:r>
                          </w:p>
                        </w:txbxContent>
                      </wps:txbx>
                      <wps:bodyPr wrap="square" lIns="0" tIns="0" rIns="0" bIns="0" rtlCol="0">
                        <a:noAutofit/>
                      </wps:bodyPr>
                    </wps:wsp>
                  </a:graphicData>
                </a:graphic>
              </wp:anchor>
            </w:drawing>
          </mc:Choice>
          <mc:Fallback>
            <w:pict>
              <v:shape w14:anchorId="0365A925" id="Textbox 53" o:spid="_x0000_s1061" type="#_x0000_t202" style="position:absolute;margin-left:95.15pt;margin-top:9.5pt;width:404.3pt;height:143.75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" filled="f">
                <v:path arrowok="t"/>
                <v:textbox inset="0,0,0,0">
                  <w:txbxContent>
                    <w:p w14:paraId="47D549C7" w14:textId="77777777" w:rsidR="00161C10" w:rsidRDefault="00CE2C8C">
                      <w:pPr>
                        <w:spacing w:before="133"/>
                        <w:ind w:left="3641" w:hanging="3138"/>
                        <w:rPr>
                          <w:rFonts w:ascii="Calibri"/>
                        </w:rPr>
                      </w:pPr>
                      <w:r>
                        <w:rPr>
                          <w:rFonts w:ascii="Calibri"/>
                        </w:rPr>
                        <w:t>A</w:t>
                      </w:r>
                      <w:r>
                        <w:rPr>
                          <w:rFonts w:ascii="Calibri"/>
                          <w:spacing w:val="-10"/>
                        </w:rPr>
                        <w:t xml:space="preserve"> </w:t>
                      </w:r>
                      <w:r>
                        <w:rPr>
                          <w:rFonts w:ascii="Calibri"/>
                        </w:rPr>
                        <w:t>national</w:t>
                      </w:r>
                      <w:r>
                        <w:rPr>
                          <w:rFonts w:ascii="Calibri"/>
                          <w:spacing w:val="-4"/>
                        </w:rPr>
                        <w:t xml:space="preserve"> </w:t>
                      </w:r>
                      <w:r>
                        <w:rPr>
                          <w:rFonts w:ascii="Calibri"/>
                        </w:rPr>
                        <w:t>framework</w:t>
                      </w:r>
                      <w:r>
                        <w:rPr>
                          <w:rFonts w:ascii="Calibri"/>
                          <w:spacing w:val="-6"/>
                        </w:rPr>
                        <w:t xml:space="preserve"> </w:t>
                      </w:r>
                      <w:r>
                        <w:rPr>
                          <w:rFonts w:ascii="Calibri"/>
                        </w:rPr>
                        <w:t>to</w:t>
                      </w:r>
                      <w:r>
                        <w:rPr>
                          <w:rFonts w:ascii="Calibri"/>
                          <w:spacing w:val="-8"/>
                        </w:rPr>
                        <w:t xml:space="preserve"> </w:t>
                      </w:r>
                      <w:r>
                        <w:rPr>
                          <w:rFonts w:ascii="Calibri"/>
                        </w:rPr>
                        <w:t>ensure</w:t>
                      </w:r>
                      <w:r>
                        <w:rPr>
                          <w:rFonts w:ascii="Calibri"/>
                          <w:spacing w:val="-4"/>
                        </w:rPr>
                        <w:t xml:space="preserve"> </w:t>
                      </w:r>
                      <w:r>
                        <w:rPr>
                          <w:rFonts w:ascii="Calibri"/>
                        </w:rPr>
                        <w:t>implementation</w:t>
                      </w:r>
                      <w:r>
                        <w:rPr>
                          <w:rFonts w:ascii="Calibri"/>
                          <w:spacing w:val="-8"/>
                        </w:rPr>
                        <w:t xml:space="preserve"> </w:t>
                      </w:r>
                      <w:r>
                        <w:rPr>
                          <w:rFonts w:ascii="Calibri"/>
                        </w:rPr>
                        <w:t>of</w:t>
                      </w:r>
                      <w:r>
                        <w:rPr>
                          <w:rFonts w:ascii="Calibri"/>
                          <w:spacing w:val="-9"/>
                        </w:rPr>
                        <w:t xml:space="preserve"> </w:t>
                      </w:r>
                      <w:r>
                        <w:rPr>
                          <w:rFonts w:ascii="Calibri"/>
                        </w:rPr>
                        <w:t>the</w:t>
                      </w:r>
                      <w:r>
                        <w:rPr>
                          <w:rFonts w:ascii="Calibri"/>
                          <w:spacing w:val="-7"/>
                        </w:rPr>
                        <w:t xml:space="preserve"> </w:t>
                      </w:r>
                      <w:r>
                        <w:rPr>
                          <w:rFonts w:ascii="Calibri"/>
                        </w:rPr>
                        <w:t>UNCRPD</w:t>
                      </w:r>
                      <w:r>
                        <w:rPr>
                          <w:rFonts w:ascii="Calibri"/>
                          <w:spacing w:val="-5"/>
                        </w:rPr>
                        <w:t xml:space="preserve"> </w:t>
                      </w:r>
                      <w:r>
                        <w:rPr>
                          <w:rFonts w:ascii="Calibri"/>
                        </w:rPr>
                        <w:t>is</w:t>
                      </w:r>
                      <w:r>
                        <w:rPr>
                          <w:rFonts w:ascii="Calibri"/>
                          <w:spacing w:val="-9"/>
                        </w:rPr>
                        <w:t xml:space="preserve"> </w:t>
                      </w:r>
                      <w:r>
                        <w:rPr>
                          <w:rFonts w:ascii="Calibri"/>
                        </w:rPr>
                        <w:t>in</w:t>
                      </w:r>
                      <w:r>
                        <w:rPr>
                          <w:rFonts w:ascii="Calibri"/>
                          <w:spacing w:val="-7"/>
                        </w:rPr>
                        <w:t xml:space="preserve"> </w:t>
                      </w:r>
                      <w:r>
                        <w:rPr>
                          <w:rFonts w:ascii="Calibri"/>
                        </w:rPr>
                        <w:t>place</w:t>
                      </w:r>
                      <w:r>
                        <w:rPr>
                          <w:rFonts w:ascii="Calibri"/>
                          <w:spacing w:val="-7"/>
                        </w:rPr>
                        <w:t xml:space="preserve"> </w:t>
                      </w:r>
                      <w:r>
                        <w:rPr>
                          <w:rFonts w:ascii="Calibri"/>
                        </w:rPr>
                        <w:t xml:space="preserve">that </w:t>
                      </w:r>
                      <w:r>
                        <w:rPr>
                          <w:rFonts w:ascii="Calibri"/>
                          <w:spacing w:val="-2"/>
                        </w:rPr>
                        <w:t>includes:</w:t>
                      </w:r>
                    </w:p>
                    <w:p w14:paraId="5C7C31BB" w14:textId="77777777" w:rsidR="00161C10" w:rsidRDefault="00CE2C8C">
                      <w:pPr>
                        <w:numPr>
                          <w:ilvl w:val="0"/>
                          <w:numId w:val="4"/>
                        </w:numPr>
                        <w:tabs>
                          <w:tab w:val="left" w:pos="680"/>
                        </w:tabs>
                        <w:spacing w:before="58"/>
                        <w:ind w:left="680" w:hanging="351"/>
                        <w:jc w:val="left"/>
                        <w:rPr>
                          <w:rFonts w:ascii="Calibri"/>
                        </w:rPr>
                      </w:pPr>
                      <w:r>
                        <w:rPr>
                          <w:rFonts w:ascii="Calibri"/>
                        </w:rPr>
                        <w:t>Objectives</w:t>
                      </w:r>
                      <w:r>
                        <w:rPr>
                          <w:rFonts w:ascii="Calibri"/>
                          <w:spacing w:val="-15"/>
                        </w:rPr>
                        <w:t xml:space="preserve"> </w:t>
                      </w:r>
                      <w:r>
                        <w:rPr>
                          <w:rFonts w:ascii="Calibri"/>
                        </w:rPr>
                        <w:t>with</w:t>
                      </w:r>
                      <w:r>
                        <w:rPr>
                          <w:rFonts w:ascii="Calibri"/>
                          <w:spacing w:val="-11"/>
                        </w:rPr>
                        <w:t xml:space="preserve"> </w:t>
                      </w:r>
                      <w:r>
                        <w:rPr>
                          <w:rFonts w:ascii="Calibri"/>
                        </w:rPr>
                        <w:t>measurable</w:t>
                      </w:r>
                      <w:r>
                        <w:rPr>
                          <w:rFonts w:ascii="Calibri"/>
                          <w:spacing w:val="-8"/>
                        </w:rPr>
                        <w:t xml:space="preserve"> </w:t>
                      </w:r>
                      <w:r>
                        <w:rPr>
                          <w:rFonts w:ascii="Calibri"/>
                        </w:rPr>
                        <w:t>goals,</w:t>
                      </w:r>
                      <w:r>
                        <w:rPr>
                          <w:rFonts w:ascii="Calibri"/>
                          <w:spacing w:val="-9"/>
                        </w:rPr>
                        <w:t xml:space="preserve"> </w:t>
                      </w:r>
                      <w:r>
                        <w:rPr>
                          <w:rFonts w:ascii="Calibri"/>
                        </w:rPr>
                        <w:t>data</w:t>
                      </w:r>
                      <w:r>
                        <w:rPr>
                          <w:rFonts w:ascii="Calibri"/>
                          <w:spacing w:val="-11"/>
                        </w:rPr>
                        <w:t xml:space="preserve"> </w:t>
                      </w:r>
                      <w:r>
                        <w:rPr>
                          <w:rFonts w:ascii="Calibri"/>
                        </w:rPr>
                        <w:t>collection</w:t>
                      </w:r>
                      <w:r>
                        <w:rPr>
                          <w:rFonts w:ascii="Calibri"/>
                          <w:spacing w:val="-9"/>
                        </w:rPr>
                        <w:t xml:space="preserve"> </w:t>
                      </w:r>
                      <w:r>
                        <w:rPr>
                          <w:rFonts w:ascii="Calibri"/>
                        </w:rPr>
                        <w:t>and</w:t>
                      </w:r>
                      <w:r>
                        <w:rPr>
                          <w:rFonts w:ascii="Calibri"/>
                          <w:spacing w:val="-12"/>
                        </w:rPr>
                        <w:t xml:space="preserve"> </w:t>
                      </w:r>
                      <w:r>
                        <w:rPr>
                          <w:rFonts w:ascii="Calibri"/>
                        </w:rPr>
                        <w:t>monitoring</w:t>
                      </w:r>
                      <w:r>
                        <w:rPr>
                          <w:rFonts w:ascii="Calibri"/>
                          <w:spacing w:val="-6"/>
                        </w:rPr>
                        <w:t xml:space="preserve"> </w:t>
                      </w:r>
                      <w:r>
                        <w:rPr>
                          <w:rFonts w:ascii="Calibri"/>
                          <w:spacing w:val="-2"/>
                        </w:rPr>
                        <w:t>mechanisms.</w:t>
                      </w:r>
                    </w:p>
                    <w:p w14:paraId="238CB5FE" w14:textId="77777777" w:rsidR="00161C10" w:rsidRDefault="00CE2C8C">
                      <w:pPr>
                        <w:numPr>
                          <w:ilvl w:val="0"/>
                          <w:numId w:val="4"/>
                        </w:numPr>
                        <w:tabs>
                          <w:tab w:val="left" w:pos="559"/>
                          <w:tab w:val="left" w:pos="720"/>
                        </w:tabs>
                        <w:spacing w:before="63"/>
                        <w:ind w:left="720" w:right="246" w:hanging="512"/>
                        <w:jc w:val="left"/>
                        <w:rPr>
                          <w:rFonts w:ascii="Calibri"/>
                        </w:rPr>
                      </w:pPr>
                      <w:r>
                        <w:rPr>
                          <w:rFonts w:ascii="Calibri"/>
                        </w:rPr>
                        <w:t>Arrangements</w:t>
                      </w:r>
                      <w:r>
                        <w:rPr>
                          <w:rFonts w:ascii="Calibri"/>
                          <w:spacing w:val="-9"/>
                        </w:rPr>
                        <w:t xml:space="preserve"> </w:t>
                      </w:r>
                      <w:r>
                        <w:rPr>
                          <w:rFonts w:ascii="Calibri"/>
                        </w:rPr>
                        <w:t>to</w:t>
                      </w:r>
                      <w:r>
                        <w:rPr>
                          <w:rFonts w:ascii="Calibri"/>
                          <w:spacing w:val="-11"/>
                        </w:rPr>
                        <w:t xml:space="preserve"> </w:t>
                      </w:r>
                      <w:r>
                        <w:rPr>
                          <w:rFonts w:ascii="Calibri"/>
                        </w:rPr>
                        <w:t>ensure</w:t>
                      </w:r>
                      <w:r>
                        <w:rPr>
                          <w:rFonts w:ascii="Calibri"/>
                          <w:spacing w:val="-8"/>
                        </w:rPr>
                        <w:t xml:space="preserve"> </w:t>
                      </w:r>
                      <w:r>
                        <w:rPr>
                          <w:rFonts w:ascii="Calibri"/>
                        </w:rPr>
                        <w:t>that</w:t>
                      </w:r>
                      <w:r>
                        <w:rPr>
                          <w:rFonts w:ascii="Calibri"/>
                          <w:spacing w:val="-8"/>
                        </w:rPr>
                        <w:t xml:space="preserve"> </w:t>
                      </w:r>
                      <w:r>
                        <w:rPr>
                          <w:rFonts w:ascii="Calibri"/>
                        </w:rPr>
                        <w:t>the</w:t>
                      </w:r>
                      <w:r>
                        <w:rPr>
                          <w:rFonts w:ascii="Calibri"/>
                          <w:spacing w:val="-8"/>
                        </w:rPr>
                        <w:t xml:space="preserve"> </w:t>
                      </w:r>
                      <w:r>
                        <w:rPr>
                          <w:rFonts w:ascii="Calibri"/>
                        </w:rPr>
                        <w:t>accessibility</w:t>
                      </w:r>
                      <w:r>
                        <w:rPr>
                          <w:rFonts w:ascii="Calibri"/>
                          <w:spacing w:val="-7"/>
                        </w:rPr>
                        <w:t xml:space="preserve"> </w:t>
                      </w:r>
                      <w:r>
                        <w:rPr>
                          <w:rFonts w:ascii="Calibri"/>
                        </w:rPr>
                        <w:t>policy,</w:t>
                      </w:r>
                      <w:r>
                        <w:rPr>
                          <w:rFonts w:ascii="Calibri"/>
                          <w:spacing w:val="-8"/>
                        </w:rPr>
                        <w:t xml:space="preserve"> </w:t>
                      </w:r>
                      <w:r>
                        <w:rPr>
                          <w:rFonts w:ascii="Calibri"/>
                        </w:rPr>
                        <w:t>legislation</w:t>
                      </w:r>
                      <w:r>
                        <w:rPr>
                          <w:rFonts w:ascii="Calibri"/>
                          <w:spacing w:val="-10"/>
                        </w:rPr>
                        <w:t xml:space="preserve"> </w:t>
                      </w:r>
                      <w:r>
                        <w:rPr>
                          <w:rFonts w:ascii="Calibri"/>
                        </w:rPr>
                        <w:t>and</w:t>
                      </w:r>
                      <w:r>
                        <w:rPr>
                          <w:rFonts w:ascii="Calibri"/>
                          <w:spacing w:val="-5"/>
                        </w:rPr>
                        <w:t xml:space="preserve"> </w:t>
                      </w:r>
                      <w:r>
                        <w:rPr>
                          <w:rFonts w:ascii="Calibri"/>
                        </w:rPr>
                        <w:t>standards</w:t>
                      </w:r>
                      <w:r>
                        <w:rPr>
                          <w:rFonts w:ascii="Calibri"/>
                          <w:spacing w:val="-10"/>
                        </w:rPr>
                        <w:t xml:space="preserve"> </w:t>
                      </w:r>
                      <w:r>
                        <w:rPr>
                          <w:rFonts w:ascii="Calibri"/>
                        </w:rPr>
                        <w:t xml:space="preserve">are properly reflected in the preparation and implementation of the </w:t>
                      </w:r>
                      <w:proofErr w:type="spellStart"/>
                      <w:r>
                        <w:rPr>
                          <w:rFonts w:ascii="Calibri"/>
                        </w:rPr>
                        <w:t>programmes</w:t>
                      </w:r>
                      <w:proofErr w:type="spellEnd"/>
                      <w:r>
                        <w:rPr>
                          <w:rFonts w:ascii="Calibri"/>
                        </w:rPr>
                        <w:t>.</w:t>
                      </w:r>
                    </w:p>
                    <w:p w14:paraId="682E89B1" w14:textId="77777777" w:rsidR="00161C10" w:rsidRDefault="00CE2C8C">
                      <w:pPr>
                        <w:spacing w:before="58"/>
                        <w:ind w:left="989" w:hanging="605"/>
                        <w:rPr>
                          <w:rFonts w:ascii="Calibri"/>
                        </w:rPr>
                      </w:pPr>
                      <w:r>
                        <w:rPr>
                          <w:rFonts w:ascii="Calibri"/>
                        </w:rPr>
                        <w:t>2a.</w:t>
                      </w:r>
                      <w:r>
                        <w:rPr>
                          <w:rFonts w:ascii="Calibri"/>
                          <w:spacing w:val="-9"/>
                        </w:rPr>
                        <w:t xml:space="preserve"> </w:t>
                      </w:r>
                      <w:r>
                        <w:rPr>
                          <w:rFonts w:ascii="Calibri"/>
                        </w:rPr>
                        <w:t>Reporting</w:t>
                      </w:r>
                      <w:r>
                        <w:rPr>
                          <w:rFonts w:ascii="Calibri"/>
                          <w:spacing w:val="-8"/>
                        </w:rPr>
                        <w:t xml:space="preserve"> </w:t>
                      </w:r>
                      <w:r>
                        <w:rPr>
                          <w:rFonts w:ascii="Calibri"/>
                        </w:rPr>
                        <w:t>arrangements</w:t>
                      </w:r>
                      <w:r>
                        <w:rPr>
                          <w:rFonts w:ascii="Calibri"/>
                          <w:spacing w:val="-10"/>
                        </w:rPr>
                        <w:t xml:space="preserve"> </w:t>
                      </w:r>
                      <w:r>
                        <w:rPr>
                          <w:rFonts w:ascii="Calibri"/>
                        </w:rPr>
                        <w:t>to</w:t>
                      </w:r>
                      <w:r>
                        <w:rPr>
                          <w:rFonts w:ascii="Calibri"/>
                          <w:spacing w:val="-10"/>
                        </w:rPr>
                        <w:t xml:space="preserve"> </w:t>
                      </w:r>
                      <w:r>
                        <w:rPr>
                          <w:rFonts w:ascii="Calibri"/>
                        </w:rPr>
                        <w:t>the</w:t>
                      </w:r>
                      <w:r>
                        <w:rPr>
                          <w:rFonts w:ascii="Calibri"/>
                          <w:spacing w:val="-9"/>
                        </w:rPr>
                        <w:t xml:space="preserve"> </w:t>
                      </w:r>
                      <w:r>
                        <w:rPr>
                          <w:rFonts w:ascii="Calibri"/>
                        </w:rPr>
                        <w:t>monitoring</w:t>
                      </w:r>
                      <w:r>
                        <w:rPr>
                          <w:rFonts w:ascii="Calibri"/>
                          <w:spacing w:val="-6"/>
                        </w:rPr>
                        <w:t xml:space="preserve"> </w:t>
                      </w:r>
                      <w:r>
                        <w:rPr>
                          <w:rFonts w:ascii="Calibri"/>
                        </w:rPr>
                        <w:t>committee</w:t>
                      </w:r>
                      <w:r>
                        <w:rPr>
                          <w:rFonts w:ascii="Calibri"/>
                          <w:spacing w:val="-7"/>
                        </w:rPr>
                        <w:t xml:space="preserve"> </w:t>
                      </w:r>
                      <w:r>
                        <w:rPr>
                          <w:rFonts w:ascii="Calibri"/>
                        </w:rPr>
                        <w:t>regarding</w:t>
                      </w:r>
                      <w:r>
                        <w:rPr>
                          <w:rFonts w:ascii="Calibri"/>
                          <w:spacing w:val="-8"/>
                        </w:rPr>
                        <w:t xml:space="preserve"> </w:t>
                      </w:r>
                      <w:r>
                        <w:rPr>
                          <w:rFonts w:ascii="Calibri"/>
                        </w:rPr>
                        <w:t>cases</w:t>
                      </w:r>
                      <w:r>
                        <w:rPr>
                          <w:rFonts w:ascii="Calibri"/>
                          <w:spacing w:val="-10"/>
                        </w:rPr>
                        <w:t xml:space="preserve"> </w:t>
                      </w:r>
                      <w:r>
                        <w:rPr>
                          <w:rFonts w:ascii="Calibri"/>
                        </w:rPr>
                        <w:t>of</w:t>
                      </w:r>
                      <w:r>
                        <w:rPr>
                          <w:rFonts w:ascii="Calibri"/>
                          <w:spacing w:val="-10"/>
                        </w:rPr>
                        <w:t xml:space="preserve"> </w:t>
                      </w:r>
                      <w:r>
                        <w:rPr>
                          <w:rFonts w:ascii="Calibri"/>
                        </w:rPr>
                        <w:t>non- compliance of operations supported by the Funds with the UNCRPD and</w:t>
                      </w:r>
                    </w:p>
                    <w:p w14:paraId="5C6542E3" w14:textId="77777777" w:rsidR="00161C10" w:rsidRDefault="00CE2C8C">
                      <w:pPr>
                        <w:ind w:left="2636" w:hanging="2127"/>
                        <w:rPr>
                          <w:rFonts w:ascii="Calibri"/>
                        </w:rPr>
                      </w:pPr>
                      <w:r>
                        <w:rPr>
                          <w:rFonts w:ascii="Calibri"/>
                        </w:rPr>
                        <w:t>complaints</w:t>
                      </w:r>
                      <w:r>
                        <w:rPr>
                          <w:rFonts w:ascii="Calibri"/>
                          <w:spacing w:val="-10"/>
                        </w:rPr>
                        <w:t xml:space="preserve"> </w:t>
                      </w:r>
                      <w:r>
                        <w:rPr>
                          <w:rFonts w:ascii="Calibri"/>
                        </w:rPr>
                        <w:t>regarding</w:t>
                      </w:r>
                      <w:r>
                        <w:rPr>
                          <w:rFonts w:ascii="Calibri"/>
                          <w:spacing w:val="-9"/>
                        </w:rPr>
                        <w:t xml:space="preserve"> </w:t>
                      </w:r>
                      <w:r>
                        <w:rPr>
                          <w:rFonts w:ascii="Calibri"/>
                        </w:rPr>
                        <w:t>the</w:t>
                      </w:r>
                      <w:r>
                        <w:rPr>
                          <w:rFonts w:ascii="Calibri"/>
                          <w:spacing w:val="-9"/>
                        </w:rPr>
                        <w:t xml:space="preserve"> </w:t>
                      </w:r>
                      <w:r>
                        <w:rPr>
                          <w:rFonts w:ascii="Calibri"/>
                        </w:rPr>
                        <w:t>UNCRPD</w:t>
                      </w:r>
                      <w:r>
                        <w:rPr>
                          <w:rFonts w:ascii="Calibri"/>
                          <w:spacing w:val="-10"/>
                        </w:rPr>
                        <w:t xml:space="preserve"> </w:t>
                      </w:r>
                      <w:r>
                        <w:rPr>
                          <w:rFonts w:ascii="Calibri"/>
                        </w:rPr>
                        <w:t>submitted</w:t>
                      </w:r>
                      <w:r>
                        <w:rPr>
                          <w:rFonts w:ascii="Calibri"/>
                          <w:spacing w:val="-8"/>
                        </w:rPr>
                        <w:t xml:space="preserve"> </w:t>
                      </w:r>
                      <w:r>
                        <w:rPr>
                          <w:rFonts w:ascii="Calibri"/>
                        </w:rPr>
                        <w:t>in</w:t>
                      </w:r>
                      <w:r>
                        <w:rPr>
                          <w:rFonts w:ascii="Calibri"/>
                          <w:spacing w:val="-11"/>
                        </w:rPr>
                        <w:t xml:space="preserve"> </w:t>
                      </w:r>
                      <w:r>
                        <w:rPr>
                          <w:rFonts w:ascii="Calibri"/>
                        </w:rPr>
                        <w:t>accordance</w:t>
                      </w:r>
                      <w:r>
                        <w:rPr>
                          <w:rFonts w:ascii="Calibri"/>
                          <w:spacing w:val="-8"/>
                        </w:rPr>
                        <w:t xml:space="preserve"> </w:t>
                      </w:r>
                      <w:r>
                        <w:rPr>
                          <w:rFonts w:ascii="Calibri"/>
                        </w:rPr>
                        <w:t>with</w:t>
                      </w:r>
                      <w:r>
                        <w:rPr>
                          <w:rFonts w:ascii="Calibri"/>
                          <w:spacing w:val="-10"/>
                        </w:rPr>
                        <w:t xml:space="preserve"> </w:t>
                      </w:r>
                      <w:r>
                        <w:rPr>
                          <w:rFonts w:ascii="Calibri"/>
                        </w:rPr>
                        <w:t>the</w:t>
                      </w:r>
                      <w:r>
                        <w:rPr>
                          <w:rFonts w:ascii="Calibri"/>
                          <w:spacing w:val="-9"/>
                        </w:rPr>
                        <w:t xml:space="preserve"> </w:t>
                      </w:r>
                      <w:r>
                        <w:rPr>
                          <w:rFonts w:ascii="Calibri"/>
                        </w:rPr>
                        <w:t>arrangements made pursuant to Article 63(</w:t>
                      </w:r>
                      <w:proofErr w:type="gramStart"/>
                      <w:r>
                        <w:rPr>
                          <w:rFonts w:ascii="Calibri"/>
                        </w:rPr>
                        <w:t>6)CPR</w:t>
                      </w:r>
                      <w:proofErr w:type="gramEnd"/>
                      <w:r>
                        <w:rPr>
                          <w:rFonts w:ascii="Calibri"/>
                        </w:rPr>
                        <w:t>.</w:t>
                      </w:r>
                    </w:p>
                  </w:txbxContent>
                </v:textbox>
                <w10:wrap type="topAndBottom" anchorx="page"/>
              </v:shape>
            </w:pict>
          </mc:Fallback>
        </mc:AlternateContent>
      </w:r>
    </w:p>
    <w:p w14:paraId="0B3ADFA2" w14:textId="77777777" w:rsidR="00161C10" w:rsidRDefault="00161C10">
      <w:pPr>
        <w:pStyle w:val="BodyText"/>
        <w:spacing w:before="94"/>
        <w:rPr>
          <w:rFonts w:ascii="Calibri"/>
          <w:b/>
          <w:sz w:val="28"/>
        </w:rPr>
      </w:pPr>
    </w:p>
    <w:p w14:paraId="6CA200EC" w14:textId="77777777" w:rsidR="00161C10" w:rsidRDefault="00CE2C8C">
      <w:pPr>
        <w:spacing w:line="276" w:lineRule="auto"/>
        <w:ind w:left="334" w:right="1044"/>
        <w:jc w:val="both"/>
        <w:rPr>
          <w:rFonts w:ascii="Calibri"/>
          <w:b/>
        </w:rPr>
      </w:pPr>
      <w:r>
        <w:rPr>
          <w:rFonts w:ascii="Calibri"/>
          <w:b/>
        </w:rPr>
        <w:t>This</w:t>
      </w:r>
      <w:r>
        <w:rPr>
          <w:rFonts w:ascii="Calibri"/>
          <w:b/>
          <w:spacing w:val="-6"/>
        </w:rPr>
        <w:t xml:space="preserve"> </w:t>
      </w:r>
      <w:r>
        <w:rPr>
          <w:rFonts w:ascii="Calibri"/>
          <w:b/>
        </w:rPr>
        <w:t>enabling</w:t>
      </w:r>
      <w:r>
        <w:rPr>
          <w:rFonts w:ascii="Calibri"/>
          <w:b/>
          <w:spacing w:val="-6"/>
        </w:rPr>
        <w:t xml:space="preserve"> </w:t>
      </w:r>
      <w:r>
        <w:rPr>
          <w:rFonts w:ascii="Calibri"/>
          <w:b/>
        </w:rPr>
        <w:t>condition</w:t>
      </w:r>
      <w:r>
        <w:rPr>
          <w:rFonts w:ascii="Calibri"/>
          <w:b/>
          <w:spacing w:val="-7"/>
        </w:rPr>
        <w:t xml:space="preserve"> </w:t>
      </w:r>
      <w:r>
        <w:rPr>
          <w:rFonts w:ascii="Calibri"/>
          <w:b/>
        </w:rPr>
        <w:t>is</w:t>
      </w:r>
      <w:r>
        <w:rPr>
          <w:rFonts w:ascii="Calibri"/>
          <w:b/>
          <w:spacing w:val="-6"/>
        </w:rPr>
        <w:t xml:space="preserve"> </w:t>
      </w:r>
      <w:r>
        <w:rPr>
          <w:rFonts w:ascii="Calibri"/>
          <w:b/>
        </w:rPr>
        <w:t>a</w:t>
      </w:r>
      <w:r>
        <w:rPr>
          <w:rFonts w:ascii="Calibri"/>
          <w:b/>
          <w:spacing w:val="-8"/>
        </w:rPr>
        <w:t xml:space="preserve"> </w:t>
      </w:r>
      <w:r>
        <w:rPr>
          <w:rFonts w:ascii="Calibri"/>
          <w:b/>
        </w:rPr>
        <w:t>continuation</w:t>
      </w:r>
      <w:r>
        <w:rPr>
          <w:rFonts w:ascii="Calibri"/>
          <w:b/>
          <w:spacing w:val="-5"/>
        </w:rPr>
        <w:t xml:space="preserve"> </w:t>
      </w:r>
      <w:r>
        <w:rPr>
          <w:rFonts w:ascii="Calibri"/>
          <w:b/>
        </w:rPr>
        <w:t>of</w:t>
      </w:r>
      <w:r>
        <w:rPr>
          <w:rFonts w:ascii="Calibri"/>
          <w:b/>
          <w:spacing w:val="-7"/>
        </w:rPr>
        <w:t xml:space="preserve"> </w:t>
      </w:r>
      <w:r>
        <w:rPr>
          <w:rFonts w:ascii="Calibri"/>
          <w:b/>
        </w:rPr>
        <w:t>the</w:t>
      </w:r>
      <w:r>
        <w:rPr>
          <w:rFonts w:ascii="Calibri"/>
          <w:b/>
          <w:spacing w:val="-7"/>
        </w:rPr>
        <w:t xml:space="preserve"> </w:t>
      </w:r>
      <w:r>
        <w:rPr>
          <w:rFonts w:ascii="Calibri"/>
          <w:b/>
        </w:rPr>
        <w:t>2014-2020</w:t>
      </w:r>
      <w:r>
        <w:rPr>
          <w:rFonts w:ascii="Calibri"/>
          <w:b/>
          <w:spacing w:val="-5"/>
        </w:rPr>
        <w:t xml:space="preserve"> </w:t>
      </w:r>
      <w:r>
        <w:rPr>
          <w:rFonts w:ascii="Calibri"/>
          <w:b/>
        </w:rPr>
        <w:t>ex</w:t>
      </w:r>
      <w:r>
        <w:rPr>
          <w:rFonts w:ascii="Calibri"/>
          <w:b/>
          <w:spacing w:val="-5"/>
        </w:rPr>
        <w:t xml:space="preserve"> </w:t>
      </w:r>
      <w:r>
        <w:rPr>
          <w:rFonts w:ascii="Calibri"/>
          <w:b/>
        </w:rPr>
        <w:t>ante</w:t>
      </w:r>
      <w:r>
        <w:rPr>
          <w:rFonts w:ascii="Calibri"/>
          <w:b/>
          <w:spacing w:val="-7"/>
        </w:rPr>
        <w:t xml:space="preserve"> </w:t>
      </w:r>
      <w:r>
        <w:rPr>
          <w:rFonts w:ascii="Calibri"/>
          <w:b/>
        </w:rPr>
        <w:t>conditionality</w:t>
      </w:r>
      <w:r>
        <w:rPr>
          <w:rFonts w:ascii="Calibri"/>
          <w:b/>
          <w:spacing w:val="-4"/>
        </w:rPr>
        <w:t xml:space="preserve"> </w:t>
      </w:r>
      <w:r>
        <w:rPr>
          <w:rFonts w:ascii="Calibri"/>
          <w:b/>
        </w:rPr>
        <w:t>on</w:t>
      </w:r>
      <w:r>
        <w:rPr>
          <w:rFonts w:ascii="Calibri"/>
          <w:b/>
          <w:spacing w:val="-8"/>
        </w:rPr>
        <w:t xml:space="preserve"> </w:t>
      </w:r>
      <w:r>
        <w:rPr>
          <w:rFonts w:ascii="Calibri"/>
          <w:b/>
        </w:rPr>
        <w:t>disability.</w:t>
      </w:r>
      <w:r>
        <w:rPr>
          <w:rFonts w:ascii="Calibri"/>
          <w:b/>
          <w:spacing w:val="32"/>
        </w:rPr>
        <w:t xml:space="preserve"> </w:t>
      </w:r>
      <w:r>
        <w:rPr>
          <w:rFonts w:ascii="Calibri"/>
          <w:b/>
        </w:rPr>
        <w:t>It</w:t>
      </w:r>
      <w:r>
        <w:rPr>
          <w:rFonts w:ascii="Calibri"/>
          <w:b/>
          <w:spacing w:val="-13"/>
        </w:rPr>
        <w:t xml:space="preserve"> </w:t>
      </w:r>
      <w:r>
        <w:rPr>
          <w:rFonts w:ascii="Calibri"/>
          <w:b/>
        </w:rPr>
        <w:t>will contribute</w:t>
      </w:r>
      <w:r>
        <w:rPr>
          <w:rFonts w:ascii="Calibri"/>
          <w:b/>
          <w:spacing w:val="-13"/>
        </w:rPr>
        <w:t xml:space="preserve"> </w:t>
      </w:r>
      <w:r>
        <w:rPr>
          <w:rFonts w:ascii="Calibri"/>
          <w:b/>
        </w:rPr>
        <w:t>to</w:t>
      </w:r>
      <w:r>
        <w:rPr>
          <w:rFonts w:ascii="Calibri"/>
          <w:b/>
          <w:spacing w:val="-12"/>
        </w:rPr>
        <w:t xml:space="preserve"> </w:t>
      </w:r>
      <w:r>
        <w:rPr>
          <w:rFonts w:ascii="Calibri"/>
          <w:b/>
        </w:rPr>
        <w:t>the</w:t>
      </w:r>
      <w:r>
        <w:rPr>
          <w:rFonts w:ascii="Calibri"/>
          <w:b/>
          <w:spacing w:val="-13"/>
        </w:rPr>
        <w:t xml:space="preserve"> </w:t>
      </w:r>
      <w:r>
        <w:rPr>
          <w:rFonts w:ascii="Calibri"/>
          <w:b/>
        </w:rPr>
        <w:t>implementation</w:t>
      </w:r>
      <w:r>
        <w:rPr>
          <w:rFonts w:ascii="Calibri"/>
          <w:b/>
          <w:spacing w:val="-12"/>
        </w:rPr>
        <w:t xml:space="preserve"> </w:t>
      </w:r>
      <w:r>
        <w:rPr>
          <w:rFonts w:ascii="Calibri"/>
          <w:b/>
        </w:rPr>
        <w:t>of</w:t>
      </w:r>
      <w:r>
        <w:rPr>
          <w:rFonts w:ascii="Calibri"/>
          <w:b/>
          <w:spacing w:val="-13"/>
        </w:rPr>
        <w:t xml:space="preserve"> </w:t>
      </w:r>
      <w:r>
        <w:rPr>
          <w:rFonts w:ascii="Calibri"/>
          <w:b/>
        </w:rPr>
        <w:t>the</w:t>
      </w:r>
      <w:r>
        <w:rPr>
          <w:rFonts w:ascii="Calibri"/>
          <w:b/>
          <w:spacing w:val="-11"/>
        </w:rPr>
        <w:t xml:space="preserve"> </w:t>
      </w:r>
      <w:r>
        <w:rPr>
          <w:rFonts w:ascii="Calibri"/>
          <w:b/>
        </w:rPr>
        <w:t>European</w:t>
      </w:r>
      <w:r>
        <w:rPr>
          <w:rFonts w:ascii="Calibri"/>
          <w:b/>
          <w:spacing w:val="-12"/>
        </w:rPr>
        <w:t xml:space="preserve"> </w:t>
      </w:r>
      <w:r>
        <w:rPr>
          <w:rFonts w:ascii="Calibri"/>
          <w:b/>
        </w:rPr>
        <w:t>Pillar</w:t>
      </w:r>
      <w:r>
        <w:rPr>
          <w:rFonts w:ascii="Calibri"/>
          <w:b/>
          <w:spacing w:val="-11"/>
        </w:rPr>
        <w:t xml:space="preserve"> </w:t>
      </w:r>
      <w:r>
        <w:rPr>
          <w:rFonts w:ascii="Calibri"/>
          <w:b/>
        </w:rPr>
        <w:t>of</w:t>
      </w:r>
      <w:r>
        <w:rPr>
          <w:rFonts w:ascii="Calibri"/>
          <w:b/>
          <w:spacing w:val="-12"/>
        </w:rPr>
        <w:t xml:space="preserve"> </w:t>
      </w:r>
      <w:r>
        <w:rPr>
          <w:rFonts w:ascii="Calibri"/>
          <w:b/>
        </w:rPr>
        <w:t>social</w:t>
      </w:r>
      <w:r>
        <w:rPr>
          <w:rFonts w:ascii="Calibri"/>
          <w:b/>
          <w:spacing w:val="-12"/>
        </w:rPr>
        <w:t xml:space="preserve"> </w:t>
      </w:r>
      <w:r>
        <w:rPr>
          <w:rFonts w:ascii="Calibri"/>
          <w:b/>
        </w:rPr>
        <w:t>Rights</w:t>
      </w:r>
      <w:proofErr w:type="gramStart"/>
      <w:r>
        <w:rPr>
          <w:rFonts w:ascii="Calibri"/>
          <w:b/>
          <w:spacing w:val="-10"/>
        </w:rPr>
        <w:t xml:space="preserve"> </w:t>
      </w:r>
      <w:r>
        <w:rPr>
          <w:rFonts w:ascii="Calibri"/>
          <w:b/>
        </w:rPr>
        <w:t>and</w:t>
      </w:r>
      <w:r>
        <w:rPr>
          <w:rFonts w:ascii="Calibri"/>
          <w:b/>
          <w:spacing w:val="-12"/>
        </w:rPr>
        <w:t xml:space="preserve"> </w:t>
      </w:r>
      <w:r>
        <w:rPr>
          <w:rFonts w:ascii="Calibri"/>
          <w:b/>
        </w:rPr>
        <w:t>in</w:t>
      </w:r>
      <w:r>
        <w:rPr>
          <w:rFonts w:ascii="Calibri"/>
          <w:b/>
          <w:spacing w:val="-13"/>
        </w:rPr>
        <w:t xml:space="preserve"> </w:t>
      </w:r>
      <w:r>
        <w:rPr>
          <w:rFonts w:ascii="Calibri"/>
          <w:b/>
        </w:rPr>
        <w:t>particular</w:t>
      </w:r>
      <w:proofErr w:type="gramEnd"/>
      <w:r>
        <w:rPr>
          <w:rFonts w:ascii="Calibri"/>
          <w:b/>
          <w:spacing w:val="-11"/>
        </w:rPr>
        <w:t xml:space="preserve"> </w:t>
      </w:r>
      <w:r>
        <w:rPr>
          <w:rFonts w:ascii="Calibri"/>
          <w:b/>
        </w:rPr>
        <w:t>its</w:t>
      </w:r>
      <w:r>
        <w:rPr>
          <w:rFonts w:ascii="Calibri"/>
          <w:b/>
          <w:spacing w:val="-10"/>
        </w:rPr>
        <w:t xml:space="preserve"> </w:t>
      </w:r>
      <w:r>
        <w:rPr>
          <w:rFonts w:ascii="Calibri"/>
          <w:b/>
        </w:rPr>
        <w:t>disability components, including principle (No 17) and other principles where disability is mainstreamed (No 1, 3, 9, 11, 18, 19, 20).</w:t>
      </w:r>
    </w:p>
    <w:p w14:paraId="1E0A4AFB" w14:textId="77777777" w:rsidR="00161C10" w:rsidRDefault="00CE2C8C">
      <w:pPr>
        <w:spacing w:before="201" w:line="276" w:lineRule="auto"/>
        <w:ind w:left="334" w:right="1044"/>
        <w:jc w:val="both"/>
        <w:rPr>
          <w:rFonts w:ascii="Calibri"/>
          <w:b/>
        </w:rPr>
      </w:pPr>
      <w:r>
        <w:rPr>
          <w:rFonts w:ascii="Calibri"/>
          <w:b/>
        </w:rPr>
        <w:t>The objective of this enabling condition is to ensure that the Funds are implemented in an efficient and effective manner in accordance with the UN Convention. This means that persons with disabilities should</w:t>
      </w:r>
      <w:r>
        <w:rPr>
          <w:rFonts w:ascii="Calibri"/>
          <w:b/>
          <w:spacing w:val="-5"/>
        </w:rPr>
        <w:t xml:space="preserve"> </w:t>
      </w:r>
      <w:r>
        <w:rPr>
          <w:rFonts w:ascii="Calibri"/>
          <w:b/>
        </w:rPr>
        <w:t>derive</w:t>
      </w:r>
      <w:r>
        <w:rPr>
          <w:rFonts w:ascii="Calibri"/>
          <w:b/>
          <w:spacing w:val="-2"/>
        </w:rPr>
        <w:t xml:space="preserve"> </w:t>
      </w:r>
      <w:r>
        <w:rPr>
          <w:rFonts w:ascii="Calibri"/>
          <w:b/>
        </w:rPr>
        <w:t>the</w:t>
      </w:r>
      <w:r>
        <w:rPr>
          <w:rFonts w:ascii="Calibri"/>
          <w:b/>
          <w:spacing w:val="-5"/>
        </w:rPr>
        <w:t xml:space="preserve"> </w:t>
      </w:r>
      <w:r>
        <w:rPr>
          <w:rFonts w:ascii="Calibri"/>
          <w:b/>
        </w:rPr>
        <w:t>same</w:t>
      </w:r>
      <w:r>
        <w:rPr>
          <w:rFonts w:ascii="Calibri"/>
          <w:b/>
          <w:spacing w:val="-2"/>
        </w:rPr>
        <w:t xml:space="preserve"> </w:t>
      </w:r>
      <w:r>
        <w:rPr>
          <w:rFonts w:ascii="Calibri"/>
          <w:b/>
        </w:rPr>
        <w:t>benefits</w:t>
      </w:r>
      <w:r>
        <w:rPr>
          <w:rFonts w:ascii="Calibri"/>
          <w:b/>
          <w:spacing w:val="-1"/>
        </w:rPr>
        <w:t xml:space="preserve"> </w:t>
      </w:r>
      <w:r>
        <w:rPr>
          <w:rFonts w:ascii="Calibri"/>
          <w:b/>
        </w:rPr>
        <w:t>from</w:t>
      </w:r>
      <w:r>
        <w:rPr>
          <w:rFonts w:ascii="Calibri"/>
          <w:b/>
          <w:spacing w:val="-1"/>
        </w:rPr>
        <w:t xml:space="preserve"> </w:t>
      </w:r>
      <w:r>
        <w:rPr>
          <w:rFonts w:ascii="Calibri"/>
          <w:b/>
        </w:rPr>
        <w:t>the</w:t>
      </w:r>
      <w:r>
        <w:rPr>
          <w:rFonts w:ascii="Calibri"/>
          <w:b/>
          <w:spacing w:val="-7"/>
        </w:rPr>
        <w:t xml:space="preserve"> </w:t>
      </w:r>
      <w:r>
        <w:rPr>
          <w:rFonts w:ascii="Calibri"/>
          <w:b/>
        </w:rPr>
        <w:t>use</w:t>
      </w:r>
      <w:r>
        <w:rPr>
          <w:rFonts w:ascii="Calibri"/>
          <w:b/>
          <w:spacing w:val="-2"/>
        </w:rPr>
        <w:t xml:space="preserve"> </w:t>
      </w:r>
      <w:r>
        <w:rPr>
          <w:rFonts w:ascii="Calibri"/>
          <w:b/>
        </w:rPr>
        <w:t>of</w:t>
      </w:r>
      <w:r>
        <w:rPr>
          <w:rFonts w:ascii="Calibri"/>
          <w:b/>
          <w:spacing w:val="-2"/>
        </w:rPr>
        <w:t xml:space="preserve"> </w:t>
      </w:r>
      <w:r>
        <w:rPr>
          <w:rFonts w:ascii="Calibri"/>
          <w:b/>
        </w:rPr>
        <w:t>the</w:t>
      </w:r>
      <w:r>
        <w:rPr>
          <w:rFonts w:ascii="Calibri"/>
          <w:b/>
          <w:spacing w:val="-2"/>
        </w:rPr>
        <w:t xml:space="preserve"> </w:t>
      </w:r>
      <w:r>
        <w:rPr>
          <w:rFonts w:ascii="Calibri"/>
          <w:b/>
        </w:rPr>
        <w:t>funds as any</w:t>
      </w:r>
      <w:r>
        <w:rPr>
          <w:rFonts w:ascii="Calibri"/>
          <w:b/>
          <w:spacing w:val="-5"/>
        </w:rPr>
        <w:t xml:space="preserve"> </w:t>
      </w:r>
      <w:r>
        <w:rPr>
          <w:rFonts w:ascii="Calibri"/>
          <w:b/>
        </w:rPr>
        <w:t>other</w:t>
      </w:r>
      <w:r>
        <w:rPr>
          <w:rFonts w:ascii="Calibri"/>
          <w:b/>
          <w:spacing w:val="-1"/>
        </w:rPr>
        <w:t xml:space="preserve"> </w:t>
      </w:r>
      <w:r>
        <w:rPr>
          <w:rFonts w:ascii="Calibri"/>
          <w:b/>
        </w:rPr>
        <w:t>persons</w:t>
      </w:r>
      <w:r>
        <w:rPr>
          <w:rFonts w:ascii="Calibri"/>
          <w:b/>
          <w:spacing w:val="-1"/>
        </w:rPr>
        <w:t xml:space="preserve"> </w:t>
      </w:r>
      <w:r>
        <w:rPr>
          <w:rFonts w:ascii="Calibri"/>
          <w:b/>
        </w:rPr>
        <w:t>and</w:t>
      </w:r>
      <w:r>
        <w:rPr>
          <w:rFonts w:ascii="Calibri"/>
          <w:b/>
          <w:spacing w:val="-3"/>
        </w:rPr>
        <w:t xml:space="preserve"> </w:t>
      </w:r>
      <w:r>
        <w:rPr>
          <w:rFonts w:ascii="Calibri"/>
          <w:b/>
        </w:rPr>
        <w:t>that their rights are respected.</w:t>
      </w:r>
    </w:p>
    <w:p w14:paraId="0BEB52BB" w14:textId="77777777" w:rsidR="00161C10" w:rsidRDefault="00CE2C8C">
      <w:pPr>
        <w:spacing w:before="202" w:line="276" w:lineRule="auto"/>
        <w:ind w:left="334" w:right="1041"/>
        <w:jc w:val="both"/>
        <w:rPr>
          <w:rFonts w:ascii="Calibri"/>
          <w:b/>
        </w:rPr>
      </w:pPr>
      <w:r>
        <w:rPr>
          <w:rFonts w:ascii="Calibri"/>
          <w:b/>
        </w:rPr>
        <w:t xml:space="preserve">Criterion by criterion (based on the </w:t>
      </w:r>
      <w:r>
        <w:rPr>
          <w:rFonts w:ascii="Calibri"/>
          <w:b/>
          <w:u w:val="single"/>
        </w:rPr>
        <w:t>Provisional common understanding</w:t>
      </w:r>
      <w:r>
        <w:rPr>
          <w:rFonts w:ascii="Calibri"/>
          <w:b/>
        </w:rPr>
        <w:t xml:space="preserve"> reached by the co- </w:t>
      </w:r>
      <w:r>
        <w:rPr>
          <w:rFonts w:ascii="Calibri"/>
          <w:b/>
          <w:spacing w:val="-2"/>
        </w:rPr>
        <w:t>legislators):</w:t>
      </w:r>
    </w:p>
    <w:p w14:paraId="5DD197B7" w14:textId="77777777" w:rsidR="00161C10" w:rsidRDefault="00CE2C8C">
      <w:pPr>
        <w:pStyle w:val="ListParagraph"/>
        <w:numPr>
          <w:ilvl w:val="0"/>
          <w:numId w:val="3"/>
        </w:numPr>
        <w:tabs>
          <w:tab w:val="left" w:pos="1052"/>
        </w:tabs>
        <w:spacing w:before="201"/>
        <w:ind w:left="1052" w:hanging="358"/>
        <w:jc w:val="left"/>
        <w:rPr>
          <w:b/>
        </w:rPr>
      </w:pPr>
      <w:r>
        <w:rPr>
          <w:b/>
        </w:rPr>
        <w:t>Objectives</w:t>
      </w:r>
      <w:r>
        <w:rPr>
          <w:b/>
          <w:spacing w:val="-15"/>
        </w:rPr>
        <w:t xml:space="preserve"> </w:t>
      </w:r>
      <w:r>
        <w:rPr>
          <w:b/>
        </w:rPr>
        <w:t>with</w:t>
      </w:r>
      <w:r>
        <w:rPr>
          <w:b/>
          <w:spacing w:val="-9"/>
        </w:rPr>
        <w:t xml:space="preserve"> </w:t>
      </w:r>
      <w:r>
        <w:rPr>
          <w:b/>
        </w:rPr>
        <w:t>measurable</w:t>
      </w:r>
      <w:r>
        <w:rPr>
          <w:b/>
          <w:spacing w:val="-10"/>
        </w:rPr>
        <w:t xml:space="preserve"> </w:t>
      </w:r>
      <w:r>
        <w:rPr>
          <w:b/>
        </w:rPr>
        <w:t>goals,</w:t>
      </w:r>
      <w:r>
        <w:rPr>
          <w:b/>
          <w:spacing w:val="-8"/>
        </w:rPr>
        <w:t xml:space="preserve"> </w:t>
      </w:r>
      <w:r>
        <w:rPr>
          <w:b/>
        </w:rPr>
        <w:t>data</w:t>
      </w:r>
      <w:r>
        <w:rPr>
          <w:b/>
          <w:spacing w:val="-10"/>
        </w:rPr>
        <w:t xml:space="preserve"> </w:t>
      </w:r>
      <w:r>
        <w:rPr>
          <w:b/>
        </w:rPr>
        <w:t>collection</w:t>
      </w:r>
      <w:r>
        <w:rPr>
          <w:b/>
          <w:spacing w:val="-11"/>
        </w:rPr>
        <w:t xml:space="preserve"> </w:t>
      </w:r>
      <w:r>
        <w:rPr>
          <w:b/>
        </w:rPr>
        <w:t>and</w:t>
      </w:r>
      <w:r>
        <w:rPr>
          <w:b/>
          <w:spacing w:val="-13"/>
        </w:rPr>
        <w:t xml:space="preserve"> </w:t>
      </w:r>
      <w:r>
        <w:rPr>
          <w:b/>
        </w:rPr>
        <w:t>monitoring</w:t>
      </w:r>
      <w:r>
        <w:rPr>
          <w:b/>
          <w:spacing w:val="-9"/>
        </w:rPr>
        <w:t xml:space="preserve"> </w:t>
      </w:r>
      <w:r>
        <w:rPr>
          <w:b/>
          <w:spacing w:val="-2"/>
        </w:rPr>
        <w:t>mechanisms</w:t>
      </w:r>
    </w:p>
    <w:p w14:paraId="4CB621C5" w14:textId="77777777" w:rsidR="00161C10" w:rsidRDefault="00CE2C8C">
      <w:pPr>
        <w:spacing w:before="240" w:line="276" w:lineRule="auto"/>
        <w:ind w:left="334" w:right="1045"/>
        <w:jc w:val="both"/>
        <w:rPr>
          <w:rFonts w:ascii="Calibri"/>
        </w:rPr>
      </w:pPr>
      <w:r>
        <w:rPr>
          <w:rFonts w:ascii="Calibri"/>
        </w:rPr>
        <w:t>The national framework to ensure the implementation of the UNCRPD should have objectives with measurable goals. The national framework can be one single document, adopted by the national authorities, attached to the self-assessment. It should foresee data collection and monitoring mechanisms, indicators, a timeline, a list of responsible bodies and partners involved. The actions to implement the articles of the UNCRPD should be clearly described. We expect desk officers to assess whether there are objectives with measurable goals for all aspects of the UN Convention for</w:t>
      </w:r>
      <w:r>
        <w:rPr>
          <w:rFonts w:ascii="Calibri"/>
          <w:spacing w:val="-1"/>
        </w:rPr>
        <w:t xml:space="preserve"> </w:t>
      </w:r>
      <w:r>
        <w:rPr>
          <w:rFonts w:ascii="Calibri"/>
        </w:rPr>
        <w:t>example when</w:t>
      </w:r>
      <w:r>
        <w:rPr>
          <w:rFonts w:ascii="Calibri"/>
          <w:spacing w:val="-11"/>
        </w:rPr>
        <w:t xml:space="preserve"> </w:t>
      </w:r>
      <w:r>
        <w:rPr>
          <w:rFonts w:ascii="Calibri"/>
        </w:rPr>
        <w:t>the</w:t>
      </w:r>
      <w:r>
        <w:rPr>
          <w:rFonts w:ascii="Calibri"/>
          <w:spacing w:val="-11"/>
        </w:rPr>
        <w:t xml:space="preserve"> </w:t>
      </w:r>
      <w:r>
        <w:rPr>
          <w:rFonts w:ascii="Calibri"/>
        </w:rPr>
        <w:t>MS</w:t>
      </w:r>
      <w:r>
        <w:rPr>
          <w:rFonts w:ascii="Calibri"/>
          <w:spacing w:val="-11"/>
        </w:rPr>
        <w:t xml:space="preserve"> </w:t>
      </w:r>
      <w:r>
        <w:rPr>
          <w:rFonts w:ascii="Calibri"/>
        </w:rPr>
        <w:t>has</w:t>
      </w:r>
      <w:r>
        <w:rPr>
          <w:rFonts w:ascii="Calibri"/>
          <w:spacing w:val="-9"/>
        </w:rPr>
        <w:t xml:space="preserve"> </w:t>
      </w:r>
      <w:r>
        <w:rPr>
          <w:rFonts w:ascii="Calibri"/>
        </w:rPr>
        <w:t>a</w:t>
      </w:r>
      <w:r>
        <w:rPr>
          <w:rFonts w:ascii="Calibri"/>
          <w:spacing w:val="-9"/>
        </w:rPr>
        <w:t xml:space="preserve"> </w:t>
      </w:r>
      <w:r>
        <w:rPr>
          <w:rFonts w:ascii="Calibri"/>
        </w:rPr>
        <w:t>comprehensive</w:t>
      </w:r>
      <w:r>
        <w:rPr>
          <w:rFonts w:ascii="Calibri"/>
          <w:spacing w:val="-9"/>
        </w:rPr>
        <w:t xml:space="preserve"> </w:t>
      </w:r>
      <w:r>
        <w:rPr>
          <w:rFonts w:ascii="Calibri"/>
        </w:rPr>
        <w:t>strategy</w:t>
      </w:r>
      <w:r>
        <w:rPr>
          <w:rFonts w:ascii="Calibri"/>
          <w:spacing w:val="-10"/>
        </w:rPr>
        <w:t xml:space="preserve"> </w:t>
      </w:r>
      <w:r>
        <w:rPr>
          <w:rFonts w:ascii="Calibri"/>
        </w:rPr>
        <w:t>and</w:t>
      </w:r>
      <w:r>
        <w:rPr>
          <w:rFonts w:ascii="Calibri"/>
          <w:spacing w:val="-9"/>
        </w:rPr>
        <w:t xml:space="preserve"> </w:t>
      </w:r>
      <w:r>
        <w:rPr>
          <w:rFonts w:ascii="Calibri"/>
        </w:rPr>
        <w:t>plan</w:t>
      </w:r>
      <w:r>
        <w:rPr>
          <w:rFonts w:ascii="Calibri"/>
          <w:spacing w:val="-9"/>
        </w:rPr>
        <w:t xml:space="preserve"> </w:t>
      </w:r>
      <w:r>
        <w:rPr>
          <w:rFonts w:ascii="Calibri"/>
        </w:rPr>
        <w:t>and</w:t>
      </w:r>
      <w:r>
        <w:rPr>
          <w:rFonts w:ascii="Calibri"/>
          <w:spacing w:val="-5"/>
        </w:rPr>
        <w:t xml:space="preserve"> </w:t>
      </w:r>
      <w:r>
        <w:rPr>
          <w:rFonts w:ascii="Calibri"/>
        </w:rPr>
        <w:t>in</w:t>
      </w:r>
      <w:r>
        <w:rPr>
          <w:rFonts w:ascii="Calibri"/>
          <w:spacing w:val="-9"/>
        </w:rPr>
        <w:t xml:space="preserve"> </w:t>
      </w:r>
      <w:r>
        <w:rPr>
          <w:rFonts w:ascii="Calibri"/>
        </w:rPr>
        <w:t>their</w:t>
      </w:r>
      <w:r>
        <w:rPr>
          <w:rFonts w:ascii="Calibri"/>
          <w:spacing w:val="-11"/>
        </w:rPr>
        <w:t xml:space="preserve"> </w:t>
      </w:r>
      <w:r>
        <w:rPr>
          <w:rFonts w:ascii="Calibri"/>
        </w:rPr>
        <w:t>reports</w:t>
      </w:r>
      <w:r>
        <w:rPr>
          <w:rFonts w:ascii="Calibri"/>
          <w:spacing w:val="-10"/>
        </w:rPr>
        <w:t xml:space="preserve"> </w:t>
      </w:r>
      <w:r>
        <w:rPr>
          <w:rFonts w:ascii="Calibri"/>
        </w:rPr>
        <w:t>to</w:t>
      </w:r>
      <w:r>
        <w:rPr>
          <w:rFonts w:ascii="Calibri"/>
          <w:spacing w:val="-9"/>
        </w:rPr>
        <w:t xml:space="preserve"> </w:t>
      </w:r>
      <w:r>
        <w:rPr>
          <w:rFonts w:ascii="Calibri"/>
        </w:rPr>
        <w:t>the</w:t>
      </w:r>
      <w:r>
        <w:rPr>
          <w:rFonts w:ascii="Calibri"/>
          <w:spacing w:val="-9"/>
        </w:rPr>
        <w:t xml:space="preserve"> </w:t>
      </w:r>
      <w:proofErr w:type="gramStart"/>
      <w:r>
        <w:rPr>
          <w:rFonts w:ascii="Calibri"/>
        </w:rPr>
        <w:t>UN</w:t>
      </w:r>
      <w:proofErr w:type="gramEnd"/>
      <w:r>
        <w:rPr>
          <w:rFonts w:ascii="Calibri"/>
          <w:spacing w:val="-9"/>
        </w:rPr>
        <w:t xml:space="preserve"> </w:t>
      </w:r>
      <w:r>
        <w:rPr>
          <w:rFonts w:ascii="Calibri"/>
        </w:rPr>
        <w:t>they</w:t>
      </w:r>
      <w:r>
        <w:rPr>
          <w:rFonts w:ascii="Calibri"/>
          <w:spacing w:val="-8"/>
        </w:rPr>
        <w:t xml:space="preserve"> </w:t>
      </w:r>
      <w:r>
        <w:rPr>
          <w:rFonts w:ascii="Calibri"/>
        </w:rPr>
        <w:t>describe</w:t>
      </w:r>
      <w:r>
        <w:rPr>
          <w:rFonts w:ascii="Calibri"/>
          <w:spacing w:val="-9"/>
        </w:rPr>
        <w:t xml:space="preserve"> </w:t>
      </w:r>
      <w:r>
        <w:rPr>
          <w:rFonts w:ascii="Calibri"/>
        </w:rPr>
        <w:t>these points. To be noted, the UNCRPD requires that the monitoring mechanism is independent from the focal point</w:t>
      </w:r>
      <w:r>
        <w:rPr>
          <w:rFonts w:ascii="Calibri"/>
          <w:vertAlign w:val="superscript"/>
        </w:rPr>
        <w:t>1</w:t>
      </w:r>
      <w:r>
        <w:rPr>
          <w:rFonts w:ascii="Calibri"/>
        </w:rPr>
        <w:t>.</w:t>
      </w:r>
    </w:p>
    <w:p w14:paraId="023A57B0" w14:textId="77777777" w:rsidR="00161C10" w:rsidRDefault="00161C10">
      <w:pPr>
        <w:pStyle w:val="BodyText"/>
        <w:rPr>
          <w:rFonts w:ascii="Calibri"/>
          <w:sz w:val="20"/>
        </w:rPr>
      </w:pPr>
    </w:p>
    <w:p w14:paraId="1342BB9B" w14:textId="77777777" w:rsidR="00161C10" w:rsidRDefault="00161C10">
      <w:pPr>
        <w:pStyle w:val="BodyText"/>
        <w:rPr>
          <w:rFonts w:ascii="Calibri"/>
          <w:sz w:val="20"/>
        </w:rPr>
      </w:pPr>
    </w:p>
    <w:p w14:paraId="0223D36D" w14:textId="77777777" w:rsidR="00161C10" w:rsidRDefault="00161C10">
      <w:pPr>
        <w:pStyle w:val="BodyText"/>
        <w:rPr>
          <w:rFonts w:ascii="Calibri"/>
          <w:sz w:val="20"/>
        </w:rPr>
      </w:pPr>
    </w:p>
    <w:p w14:paraId="3372A3DC" w14:textId="77777777" w:rsidR="00161C10" w:rsidRDefault="00161C10">
      <w:pPr>
        <w:pStyle w:val="BodyText"/>
        <w:rPr>
          <w:rFonts w:ascii="Calibri"/>
          <w:sz w:val="20"/>
        </w:rPr>
      </w:pPr>
    </w:p>
    <w:p w14:paraId="50050FA8" w14:textId="77777777" w:rsidR="00161C10" w:rsidRDefault="00CE2C8C">
      <w:pPr>
        <w:pStyle w:val="BodyText"/>
        <w:spacing w:before="43"/>
        <w:rPr>
          <w:rFonts w:ascii="Calibri"/>
          <w:sz w:val="20"/>
        </w:rPr>
      </w:pPr>
      <w:r>
        <w:rPr>
          <w:rFonts w:ascii="Calibri"/>
          <w:noProof/>
          <w:sz w:val="20"/>
        </w:rPr>
        <mc:AlternateContent>
          <mc:Choice Requires="wps">
            <w:drawing>
              <wp:anchor distT="0" distB="0" distL="0" distR="0" simplePos="0" relativeHeight="487607808" behindDoc="1" locked="0" layoutInCell="1" allowOverlap="1" wp14:anchorId="76E8B10A" wp14:editId="57DCBADA">
                <wp:simplePos x="0" y="0"/>
                <wp:positionH relativeFrom="page">
                  <wp:posOffset>898525</wp:posOffset>
                </wp:positionH>
                <wp:positionV relativeFrom="paragraph">
                  <wp:posOffset>197591</wp:posOffset>
                </wp:positionV>
                <wp:extent cx="1830070" cy="952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467E97" id="Graphic 54" o:spid="_x0000_s1026" style="position:absolute;margin-left:70.75pt;margin-top:15.55pt;width:144.1pt;height:.75pt;z-index:-1570867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" path="m1829816,l,,,9524r1829816,l1829816,xe" fillcolor="black" stroked="f">
                <v:path arrowok="t"/>
                <w10:wrap type="topAndBottom" anchorx="page"/>
              </v:shape>
            </w:pict>
          </mc:Fallback>
        </mc:AlternateContent>
      </w:r>
    </w:p>
    <w:p w14:paraId="6D367D9D" w14:textId="77777777" w:rsidR="00161C10" w:rsidRDefault="00CE2C8C">
      <w:pPr>
        <w:spacing w:before="97"/>
        <w:ind w:left="334" w:right="1136"/>
        <w:jc w:val="both"/>
        <w:rPr>
          <w:rFonts w:ascii="Calibri"/>
          <w:sz w:val="20"/>
        </w:rPr>
      </w:pPr>
      <w:r>
        <w:rPr>
          <w:rFonts w:ascii="Calibri"/>
          <w:position w:val="6"/>
          <w:sz w:val="13"/>
        </w:rPr>
        <w:t>1</w:t>
      </w:r>
      <w:r>
        <w:rPr>
          <w:rFonts w:ascii="Calibri"/>
          <w:spacing w:val="12"/>
          <w:position w:val="6"/>
          <w:sz w:val="13"/>
        </w:rPr>
        <w:t xml:space="preserve"> </w:t>
      </w:r>
      <w:r>
        <w:rPr>
          <w:rFonts w:ascii="Calibri"/>
          <w:sz w:val="20"/>
        </w:rPr>
        <w:t>The</w:t>
      </w:r>
      <w:r>
        <w:rPr>
          <w:rFonts w:ascii="Calibri"/>
          <w:spacing w:val="-1"/>
          <w:sz w:val="20"/>
        </w:rPr>
        <w:t xml:space="preserve"> </w:t>
      </w:r>
      <w:r>
        <w:rPr>
          <w:rFonts w:ascii="Calibri"/>
          <w:sz w:val="20"/>
        </w:rPr>
        <w:t>focal</w:t>
      </w:r>
      <w:r>
        <w:rPr>
          <w:rFonts w:ascii="Calibri"/>
          <w:spacing w:val="-2"/>
          <w:sz w:val="20"/>
        </w:rPr>
        <w:t xml:space="preserve"> </w:t>
      </w:r>
      <w:r>
        <w:rPr>
          <w:rFonts w:ascii="Calibri"/>
          <w:sz w:val="20"/>
        </w:rPr>
        <w:t>point</w:t>
      </w:r>
      <w:r>
        <w:rPr>
          <w:rFonts w:ascii="Calibri"/>
          <w:spacing w:val="-1"/>
          <w:sz w:val="20"/>
        </w:rPr>
        <w:t xml:space="preserve"> </w:t>
      </w:r>
      <w:r>
        <w:rPr>
          <w:rFonts w:ascii="Calibri"/>
          <w:sz w:val="20"/>
        </w:rPr>
        <w:t>is</w:t>
      </w:r>
      <w:r>
        <w:rPr>
          <w:rFonts w:ascii="Calibri"/>
          <w:spacing w:val="-2"/>
          <w:sz w:val="20"/>
        </w:rPr>
        <w:t xml:space="preserve"> </w:t>
      </w:r>
      <w:r>
        <w:rPr>
          <w:rFonts w:ascii="Calibri"/>
          <w:sz w:val="20"/>
        </w:rPr>
        <w:t>nominated</w:t>
      </w:r>
      <w:r>
        <w:rPr>
          <w:rFonts w:ascii="Calibri"/>
          <w:spacing w:val="-4"/>
          <w:sz w:val="20"/>
        </w:rPr>
        <w:t xml:space="preserve"> </w:t>
      </w:r>
      <w:r>
        <w:rPr>
          <w:rFonts w:ascii="Calibri"/>
          <w:sz w:val="20"/>
        </w:rPr>
        <w:t>when</w:t>
      </w:r>
      <w:r>
        <w:rPr>
          <w:rFonts w:ascii="Calibri"/>
          <w:spacing w:val="-2"/>
          <w:sz w:val="20"/>
        </w:rPr>
        <w:t xml:space="preserve"> </w:t>
      </w:r>
      <w:r>
        <w:rPr>
          <w:rFonts w:ascii="Calibri"/>
          <w:sz w:val="20"/>
        </w:rPr>
        <w:t>ratifying</w:t>
      </w:r>
      <w:r>
        <w:rPr>
          <w:rFonts w:ascii="Calibri"/>
          <w:spacing w:val="-3"/>
          <w:sz w:val="20"/>
        </w:rPr>
        <w:t xml:space="preserve"> </w:t>
      </w:r>
      <w:r>
        <w:rPr>
          <w:rFonts w:ascii="Calibri"/>
          <w:sz w:val="20"/>
        </w:rPr>
        <w:t>the</w:t>
      </w:r>
      <w:r>
        <w:rPr>
          <w:rFonts w:ascii="Calibri"/>
          <w:spacing w:val="-3"/>
          <w:sz w:val="20"/>
        </w:rPr>
        <w:t xml:space="preserve"> </w:t>
      </w:r>
      <w:r>
        <w:rPr>
          <w:rFonts w:ascii="Calibri"/>
          <w:sz w:val="20"/>
        </w:rPr>
        <w:t>UNCRPD.</w:t>
      </w:r>
      <w:r>
        <w:rPr>
          <w:rFonts w:ascii="Calibri"/>
          <w:spacing w:val="-1"/>
          <w:sz w:val="20"/>
        </w:rPr>
        <w:t xml:space="preserve"> </w:t>
      </w:r>
      <w:r>
        <w:rPr>
          <w:rFonts w:ascii="Calibri"/>
          <w:sz w:val="20"/>
        </w:rPr>
        <w:t>Normally</w:t>
      </w:r>
      <w:r>
        <w:rPr>
          <w:rFonts w:ascii="Calibri"/>
          <w:spacing w:val="-2"/>
          <w:sz w:val="20"/>
        </w:rPr>
        <w:t xml:space="preserve"> </w:t>
      </w:r>
      <w:r>
        <w:rPr>
          <w:rFonts w:ascii="Calibri"/>
          <w:sz w:val="20"/>
        </w:rPr>
        <w:t>is</w:t>
      </w:r>
      <w:r>
        <w:rPr>
          <w:rFonts w:ascii="Calibri"/>
          <w:spacing w:val="-1"/>
          <w:sz w:val="20"/>
        </w:rPr>
        <w:t xml:space="preserve"> </w:t>
      </w:r>
      <w:r>
        <w:rPr>
          <w:rFonts w:ascii="Calibri"/>
          <w:sz w:val="20"/>
        </w:rPr>
        <w:t>a</w:t>
      </w:r>
      <w:r>
        <w:rPr>
          <w:rFonts w:ascii="Calibri"/>
          <w:spacing w:val="-2"/>
          <w:sz w:val="20"/>
        </w:rPr>
        <w:t xml:space="preserve"> </w:t>
      </w:r>
      <w:r>
        <w:rPr>
          <w:rFonts w:ascii="Calibri"/>
          <w:sz w:val="20"/>
        </w:rPr>
        <w:t>ministry</w:t>
      </w:r>
      <w:r>
        <w:rPr>
          <w:rFonts w:ascii="Calibri"/>
          <w:spacing w:val="-1"/>
          <w:sz w:val="20"/>
        </w:rPr>
        <w:t xml:space="preserve"> </w:t>
      </w:r>
      <w:r>
        <w:rPr>
          <w:rFonts w:ascii="Calibri"/>
          <w:sz w:val="20"/>
        </w:rPr>
        <w:t>or</w:t>
      </w:r>
      <w:r>
        <w:rPr>
          <w:rFonts w:ascii="Calibri"/>
          <w:spacing w:val="-2"/>
          <w:sz w:val="20"/>
        </w:rPr>
        <w:t xml:space="preserve"> </w:t>
      </w:r>
      <w:r>
        <w:rPr>
          <w:rFonts w:ascii="Calibri"/>
          <w:sz w:val="20"/>
        </w:rPr>
        <w:t>a</w:t>
      </w:r>
      <w:r>
        <w:rPr>
          <w:rFonts w:ascii="Calibri"/>
          <w:spacing w:val="-2"/>
          <w:sz w:val="20"/>
        </w:rPr>
        <w:t xml:space="preserve"> </w:t>
      </w:r>
      <w:r>
        <w:rPr>
          <w:rFonts w:ascii="Calibri"/>
          <w:sz w:val="20"/>
        </w:rPr>
        <w:t>department</w:t>
      </w:r>
      <w:r>
        <w:rPr>
          <w:rFonts w:ascii="Calibri"/>
          <w:spacing w:val="-2"/>
          <w:sz w:val="20"/>
        </w:rPr>
        <w:t xml:space="preserve"> </w:t>
      </w:r>
      <w:r>
        <w:rPr>
          <w:rFonts w:ascii="Calibri"/>
          <w:sz w:val="20"/>
        </w:rPr>
        <w:t>of</w:t>
      </w:r>
      <w:r>
        <w:rPr>
          <w:rFonts w:ascii="Calibri"/>
          <w:spacing w:val="-4"/>
          <w:sz w:val="20"/>
        </w:rPr>
        <w:t xml:space="preserve"> </w:t>
      </w:r>
      <w:r>
        <w:rPr>
          <w:rFonts w:ascii="Calibri"/>
          <w:sz w:val="20"/>
        </w:rPr>
        <w:t>the</w:t>
      </w:r>
      <w:r>
        <w:rPr>
          <w:rFonts w:ascii="Calibri"/>
          <w:spacing w:val="-3"/>
          <w:sz w:val="20"/>
        </w:rPr>
        <w:t xml:space="preserve"> </w:t>
      </w:r>
      <w:r>
        <w:rPr>
          <w:rFonts w:ascii="Calibri"/>
          <w:sz w:val="20"/>
        </w:rPr>
        <w:t>public administration that has the responsibility for implementation.</w:t>
      </w:r>
    </w:p>
    <w:p w14:paraId="5E7DEB37" w14:textId="77777777" w:rsidR="00161C10" w:rsidRDefault="00161C10">
      <w:pPr>
        <w:jc w:val="both"/>
        <w:rPr>
          <w:rFonts w:ascii="Calibri"/>
          <w:sz w:val="20"/>
        </w:rPr>
        <w:sectPr w:rsidR="00161C10">
          <w:footerReference w:type="default" r:id="rId124"/>
          <w:pgSz w:w="11920" w:h="16850"/>
          <w:pgMar w:top="1640" w:right="360" w:bottom="280" w:left="1080" w:header="0" w:footer="0" w:gutter="0"/>
          <w:cols w:space="720"/>
        </w:sectPr>
      </w:pPr>
    </w:p>
    <w:p w14:paraId="1FB58E80" w14:textId="77777777" w:rsidR="00161C10" w:rsidRDefault="00CE2C8C">
      <w:pPr>
        <w:spacing w:before="35" w:line="276" w:lineRule="auto"/>
        <w:ind w:left="334" w:right="1047"/>
        <w:jc w:val="both"/>
        <w:rPr>
          <w:rFonts w:ascii="Calibri"/>
        </w:rPr>
      </w:pPr>
      <w:r>
        <w:rPr>
          <w:rFonts w:ascii="Calibri"/>
          <w:noProof/>
        </w:rPr>
        <w:lastRenderedPageBreak/>
        <mc:AlternateContent>
          <mc:Choice Requires="wps">
            <w:drawing>
              <wp:anchor distT="0" distB="0" distL="0" distR="0" simplePos="0" relativeHeight="487144960" behindDoc="1" locked="0" layoutInCell="1" allowOverlap="1" wp14:anchorId="49F91E87" wp14:editId="7514F902">
                <wp:simplePos x="0" y="0"/>
                <wp:positionH relativeFrom="page">
                  <wp:posOffset>2728595</wp:posOffset>
                </wp:positionH>
                <wp:positionV relativeFrom="paragraph">
                  <wp:posOffset>367791</wp:posOffset>
                </wp:positionV>
                <wp:extent cx="3890645" cy="952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0645" cy="9525"/>
                        </a:xfrm>
                        <a:custGeom>
                          <a:avLst/>
                          <a:gdLst/>
                          <a:ahLst/>
                          <a:cxnLst/>
                          <a:rect l="l" t="t" r="r" b="b"/>
                          <a:pathLst>
                            <a:path w="3890645" h="9525">
                              <a:moveTo>
                                <a:pt x="3890390" y="0"/>
                              </a:moveTo>
                              <a:lnTo>
                                <a:pt x="0" y="0"/>
                              </a:lnTo>
                              <a:lnTo>
                                <a:pt x="0" y="9525"/>
                              </a:lnTo>
                              <a:lnTo>
                                <a:pt x="3890390" y="9525"/>
                              </a:lnTo>
                              <a:lnTo>
                                <a:pt x="389039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299797E" id="Graphic 55" o:spid="_x0000_s1026" style="position:absolute;margin-left:214.85pt;margin-top:28.95pt;width:306.35pt;height:.75pt;z-index:-16171520;visibility:visible;mso-wrap-style:square;mso-wrap-distance-left:0;mso-wrap-distance-top:0;mso-wrap-distance-right:0;mso-wrap-distance-bottom:0;mso-position-horizontal:absolute;mso-position-horizontal-relative:page;mso-position-vertical:absolute;mso-position-vertical-relative:text;v-text-anchor:top" coordsize="38906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" path="m3890390,l,,,9525r3890390,l3890390,xe" fillcolor="blue" stroked="f">
                <v:path arrowok="t"/>
                <w10:wrap anchorx="page"/>
              </v:shape>
            </w:pict>
          </mc:Fallback>
        </mc:AlternateContent>
      </w:r>
      <w:r>
        <w:rPr>
          <w:rFonts w:ascii="Calibri"/>
        </w:rPr>
        <w:t>The national implementation</w:t>
      </w:r>
      <w:r>
        <w:rPr>
          <w:rFonts w:ascii="Calibri"/>
          <w:spacing w:val="-1"/>
        </w:rPr>
        <w:t xml:space="preserve"> </w:t>
      </w:r>
      <w:r>
        <w:rPr>
          <w:rFonts w:ascii="Calibri"/>
        </w:rPr>
        <w:t>reports and</w:t>
      </w:r>
      <w:r>
        <w:rPr>
          <w:rFonts w:ascii="Calibri"/>
          <w:spacing w:val="-3"/>
        </w:rPr>
        <w:t xml:space="preserve"> </w:t>
      </w:r>
      <w:r>
        <w:rPr>
          <w:rFonts w:ascii="Calibri"/>
        </w:rPr>
        <w:t>concluding</w:t>
      </w:r>
      <w:r>
        <w:rPr>
          <w:rFonts w:ascii="Calibri"/>
          <w:spacing w:val="-2"/>
        </w:rPr>
        <w:t xml:space="preserve"> </w:t>
      </w:r>
      <w:r>
        <w:rPr>
          <w:rFonts w:ascii="Calibri"/>
        </w:rPr>
        <w:t>observations</w:t>
      </w:r>
      <w:r>
        <w:rPr>
          <w:rFonts w:ascii="Calibri"/>
          <w:spacing w:val="-2"/>
        </w:rPr>
        <w:t xml:space="preserve"> </w:t>
      </w:r>
      <w:r>
        <w:rPr>
          <w:rFonts w:ascii="Calibri"/>
        </w:rPr>
        <w:t>of</w:t>
      </w:r>
      <w:r>
        <w:rPr>
          <w:rFonts w:ascii="Calibri"/>
          <w:spacing w:val="-2"/>
        </w:rPr>
        <w:t xml:space="preserve"> </w:t>
      </w:r>
      <w:r>
        <w:rPr>
          <w:rFonts w:ascii="Calibri"/>
        </w:rPr>
        <w:t>the UN</w:t>
      </w:r>
      <w:r>
        <w:rPr>
          <w:rFonts w:ascii="Calibri"/>
          <w:spacing w:val="-1"/>
        </w:rPr>
        <w:t xml:space="preserve"> </w:t>
      </w:r>
      <w:r>
        <w:rPr>
          <w:rFonts w:ascii="Calibri"/>
        </w:rPr>
        <w:t>Committee</w:t>
      </w:r>
      <w:r>
        <w:rPr>
          <w:rFonts w:ascii="Calibri"/>
          <w:spacing w:val="-1"/>
        </w:rPr>
        <w:t xml:space="preserve"> </w:t>
      </w:r>
      <w:r>
        <w:rPr>
          <w:rFonts w:ascii="Calibri"/>
        </w:rPr>
        <w:t>on</w:t>
      </w:r>
      <w:r>
        <w:rPr>
          <w:rFonts w:ascii="Calibri"/>
          <w:spacing w:val="-3"/>
        </w:rPr>
        <w:t xml:space="preserve"> </w:t>
      </w:r>
      <w:r>
        <w:rPr>
          <w:rFonts w:ascii="Calibri"/>
        </w:rPr>
        <w:t>the rights of persons with disabilities</w:t>
      </w:r>
      <w:r>
        <w:rPr>
          <w:rFonts w:ascii="Calibri"/>
          <w:vertAlign w:val="superscript"/>
        </w:rPr>
        <w:t>2</w:t>
      </w:r>
      <w:r>
        <w:rPr>
          <w:rFonts w:ascii="Calibri"/>
        </w:rPr>
        <w:t xml:space="preserve"> (</w:t>
      </w:r>
      <w:hyperlink r:id="rId125">
        <w:r>
          <w:rPr>
            <w:rFonts w:ascii="Calibri"/>
            <w:color w:val="0000FF"/>
          </w:rPr>
          <w:t>https://www.ohchr.org/EN/HRBodies/CRPD/Pages/CRPDIndex.aspx</w:t>
        </w:r>
      </w:hyperlink>
      <w:r>
        <w:rPr>
          <w:rFonts w:ascii="Calibri"/>
          <w:color w:val="0000FF"/>
          <w:vertAlign w:val="superscript"/>
        </w:rPr>
        <w:t>3</w:t>
      </w:r>
      <w:r>
        <w:rPr>
          <w:rFonts w:ascii="Calibri"/>
        </w:rPr>
        <w:t>) should be used as one of the reference documents. The shadow reports from NGOs published in the UNCRPD website together with the State Party reports can also be useful.</w:t>
      </w:r>
    </w:p>
    <w:p w14:paraId="13287F19" w14:textId="77777777" w:rsidR="00161C10" w:rsidRDefault="00CE2C8C">
      <w:pPr>
        <w:spacing w:before="199" w:line="276" w:lineRule="auto"/>
        <w:ind w:left="334" w:right="1047"/>
        <w:jc w:val="both"/>
        <w:rPr>
          <w:rFonts w:ascii="Calibri"/>
        </w:rPr>
      </w:pPr>
      <w:r>
        <w:rPr>
          <w:rFonts w:ascii="Calibri"/>
        </w:rPr>
        <w:t>There</w:t>
      </w:r>
      <w:r>
        <w:rPr>
          <w:rFonts w:ascii="Calibri"/>
          <w:spacing w:val="-8"/>
        </w:rPr>
        <w:t xml:space="preserve"> </w:t>
      </w:r>
      <w:r>
        <w:rPr>
          <w:rFonts w:ascii="Calibri"/>
        </w:rPr>
        <w:t>can</w:t>
      </w:r>
      <w:r>
        <w:rPr>
          <w:rFonts w:ascii="Calibri"/>
          <w:spacing w:val="-9"/>
        </w:rPr>
        <w:t xml:space="preserve"> </w:t>
      </w:r>
      <w:r>
        <w:rPr>
          <w:rFonts w:ascii="Calibri"/>
        </w:rPr>
        <w:t>be</w:t>
      </w:r>
      <w:r>
        <w:rPr>
          <w:rFonts w:ascii="Calibri"/>
          <w:spacing w:val="-8"/>
        </w:rPr>
        <w:t xml:space="preserve"> </w:t>
      </w:r>
      <w:r>
        <w:rPr>
          <w:rFonts w:ascii="Calibri"/>
        </w:rPr>
        <w:t>only</w:t>
      </w:r>
      <w:r>
        <w:rPr>
          <w:rFonts w:ascii="Calibri"/>
          <w:spacing w:val="-8"/>
        </w:rPr>
        <w:t xml:space="preserve"> </w:t>
      </w:r>
      <w:r>
        <w:rPr>
          <w:rFonts w:ascii="Calibri"/>
        </w:rPr>
        <w:t>one</w:t>
      </w:r>
      <w:r>
        <w:rPr>
          <w:rFonts w:ascii="Calibri"/>
          <w:spacing w:val="-8"/>
        </w:rPr>
        <w:t xml:space="preserve"> </w:t>
      </w:r>
      <w:r>
        <w:rPr>
          <w:rFonts w:ascii="Calibri"/>
        </w:rPr>
        <w:t>assessment</w:t>
      </w:r>
      <w:r>
        <w:rPr>
          <w:rFonts w:ascii="Calibri"/>
          <w:spacing w:val="-6"/>
        </w:rPr>
        <w:t xml:space="preserve"> </w:t>
      </w:r>
      <w:r>
        <w:rPr>
          <w:rFonts w:ascii="Calibri"/>
        </w:rPr>
        <w:t>for</w:t>
      </w:r>
      <w:r>
        <w:rPr>
          <w:rFonts w:ascii="Calibri"/>
          <w:spacing w:val="-8"/>
        </w:rPr>
        <w:t xml:space="preserve"> </w:t>
      </w:r>
      <w:r>
        <w:rPr>
          <w:rFonts w:ascii="Calibri"/>
        </w:rPr>
        <w:t>all</w:t>
      </w:r>
      <w:r>
        <w:rPr>
          <w:rFonts w:ascii="Calibri"/>
          <w:spacing w:val="-9"/>
        </w:rPr>
        <w:t xml:space="preserve"> </w:t>
      </w:r>
      <w:r>
        <w:rPr>
          <w:rFonts w:ascii="Calibri"/>
        </w:rPr>
        <w:t>the</w:t>
      </w:r>
      <w:r>
        <w:rPr>
          <w:rFonts w:ascii="Calibri"/>
          <w:spacing w:val="-10"/>
        </w:rPr>
        <w:t xml:space="preserve"> </w:t>
      </w:r>
      <w:r>
        <w:rPr>
          <w:rFonts w:ascii="Calibri"/>
        </w:rPr>
        <w:t>CPR</w:t>
      </w:r>
      <w:r>
        <w:rPr>
          <w:rFonts w:ascii="Calibri"/>
          <w:spacing w:val="-6"/>
        </w:rPr>
        <w:t xml:space="preserve"> </w:t>
      </w:r>
      <w:r>
        <w:rPr>
          <w:rFonts w:ascii="Calibri"/>
        </w:rPr>
        <w:t>Funds</w:t>
      </w:r>
      <w:r>
        <w:rPr>
          <w:rFonts w:ascii="Calibri"/>
          <w:spacing w:val="-8"/>
        </w:rPr>
        <w:t xml:space="preserve"> </w:t>
      </w:r>
      <w:r>
        <w:rPr>
          <w:rFonts w:ascii="Calibri"/>
        </w:rPr>
        <w:t>for</w:t>
      </w:r>
      <w:r>
        <w:rPr>
          <w:rFonts w:ascii="Calibri"/>
          <w:spacing w:val="-8"/>
        </w:rPr>
        <w:t xml:space="preserve"> </w:t>
      </w:r>
      <w:r>
        <w:rPr>
          <w:rFonts w:ascii="Calibri"/>
        </w:rPr>
        <w:t>this</w:t>
      </w:r>
      <w:r>
        <w:rPr>
          <w:rFonts w:ascii="Calibri"/>
          <w:spacing w:val="-9"/>
        </w:rPr>
        <w:t xml:space="preserve"> </w:t>
      </w:r>
      <w:r>
        <w:rPr>
          <w:rFonts w:ascii="Calibri"/>
        </w:rPr>
        <w:t>criterion,</w:t>
      </w:r>
      <w:r>
        <w:rPr>
          <w:rFonts w:ascii="Calibri"/>
          <w:spacing w:val="-6"/>
        </w:rPr>
        <w:t xml:space="preserve"> </w:t>
      </w:r>
      <w:r>
        <w:rPr>
          <w:rFonts w:ascii="Calibri"/>
        </w:rPr>
        <w:t>as</w:t>
      </w:r>
      <w:r>
        <w:rPr>
          <w:rFonts w:ascii="Calibri"/>
          <w:spacing w:val="-8"/>
        </w:rPr>
        <w:t xml:space="preserve"> </w:t>
      </w:r>
      <w:r>
        <w:rPr>
          <w:rFonts w:ascii="Calibri"/>
        </w:rPr>
        <w:t>it</w:t>
      </w:r>
      <w:r>
        <w:rPr>
          <w:rFonts w:ascii="Calibri"/>
          <w:spacing w:val="-6"/>
        </w:rPr>
        <w:t xml:space="preserve"> </w:t>
      </w:r>
      <w:r>
        <w:rPr>
          <w:rFonts w:ascii="Calibri"/>
        </w:rPr>
        <w:t>refers</w:t>
      </w:r>
      <w:r>
        <w:rPr>
          <w:rFonts w:ascii="Calibri"/>
          <w:spacing w:val="-8"/>
        </w:rPr>
        <w:t xml:space="preserve"> </w:t>
      </w:r>
      <w:r>
        <w:rPr>
          <w:rFonts w:ascii="Calibri"/>
        </w:rPr>
        <w:t>to</w:t>
      </w:r>
      <w:r>
        <w:rPr>
          <w:rFonts w:ascii="Calibri"/>
          <w:spacing w:val="-8"/>
        </w:rPr>
        <w:t xml:space="preserve"> </w:t>
      </w:r>
      <w:r>
        <w:rPr>
          <w:rFonts w:ascii="Calibri"/>
        </w:rPr>
        <w:t>the</w:t>
      </w:r>
      <w:r>
        <w:rPr>
          <w:rFonts w:ascii="Calibri"/>
          <w:spacing w:val="-10"/>
        </w:rPr>
        <w:t xml:space="preserve"> </w:t>
      </w:r>
      <w:r>
        <w:rPr>
          <w:rFonts w:ascii="Calibri"/>
        </w:rPr>
        <w:t xml:space="preserve">overarching framework (it is not a </w:t>
      </w:r>
      <w:proofErr w:type="spellStart"/>
      <w:r>
        <w:rPr>
          <w:rFonts w:ascii="Calibri"/>
        </w:rPr>
        <w:t>programme</w:t>
      </w:r>
      <w:proofErr w:type="spellEnd"/>
      <w:r>
        <w:rPr>
          <w:rFonts w:ascii="Calibri"/>
        </w:rPr>
        <w:t xml:space="preserve"> specific criterion).</w:t>
      </w:r>
    </w:p>
    <w:p w14:paraId="13A09736" w14:textId="77777777" w:rsidR="00161C10" w:rsidRDefault="00161C10">
      <w:pPr>
        <w:pStyle w:val="BodyText"/>
        <w:rPr>
          <w:rFonts w:ascii="Calibri"/>
          <w:sz w:val="22"/>
        </w:rPr>
      </w:pPr>
    </w:p>
    <w:p w14:paraId="12D59DC7" w14:textId="77777777" w:rsidR="00161C10" w:rsidRDefault="00161C10">
      <w:pPr>
        <w:pStyle w:val="BodyText"/>
        <w:spacing w:before="175"/>
        <w:rPr>
          <w:rFonts w:ascii="Calibri"/>
          <w:sz w:val="22"/>
        </w:rPr>
      </w:pPr>
    </w:p>
    <w:p w14:paraId="2812A6BF" w14:textId="77777777" w:rsidR="00161C10" w:rsidRDefault="00CE2C8C">
      <w:pPr>
        <w:ind w:left="334"/>
        <w:rPr>
          <w:rFonts w:ascii="Calibri"/>
          <w:b/>
        </w:rPr>
      </w:pPr>
      <w:r>
        <w:rPr>
          <w:rFonts w:ascii="Calibri"/>
          <w:b/>
        </w:rPr>
        <w:t>Guiding</w:t>
      </w:r>
      <w:r>
        <w:rPr>
          <w:rFonts w:ascii="Calibri"/>
          <w:b/>
          <w:spacing w:val="-7"/>
        </w:rPr>
        <w:t xml:space="preserve"> </w:t>
      </w:r>
      <w:r>
        <w:rPr>
          <w:rFonts w:ascii="Calibri"/>
          <w:b/>
          <w:spacing w:val="-2"/>
        </w:rPr>
        <w:t>questions:</w:t>
      </w:r>
    </w:p>
    <w:p w14:paraId="6E93C3DA" w14:textId="77777777" w:rsidR="00161C10" w:rsidRDefault="00CE2C8C">
      <w:pPr>
        <w:pStyle w:val="ListParagraph"/>
        <w:numPr>
          <w:ilvl w:val="0"/>
          <w:numId w:val="2"/>
        </w:numPr>
        <w:tabs>
          <w:tab w:val="left" w:pos="1056"/>
        </w:tabs>
        <w:spacing w:before="244" w:line="271" w:lineRule="auto"/>
        <w:ind w:right="1047"/>
      </w:pPr>
      <w:r>
        <w:t>Is there a national framework, adopted by national authorities, in place to implement the UNCRPD in its entirety?</w:t>
      </w:r>
    </w:p>
    <w:p w14:paraId="35CD7390" w14:textId="77777777" w:rsidR="00161C10" w:rsidRDefault="00CE2C8C">
      <w:pPr>
        <w:pStyle w:val="ListParagraph"/>
        <w:numPr>
          <w:ilvl w:val="0"/>
          <w:numId w:val="2"/>
        </w:numPr>
        <w:tabs>
          <w:tab w:val="left" w:pos="1056"/>
        </w:tabs>
        <w:spacing w:before="7" w:line="276" w:lineRule="auto"/>
        <w:ind w:right="1049"/>
      </w:pPr>
      <w:r>
        <w:t>Does the national framework for the implementation of the UNCRPD include well-defined objectives with measurable goals (i.e. how the objectives will be considered as achieved)?</w:t>
      </w:r>
    </w:p>
    <w:p w14:paraId="25D72E69" w14:textId="77777777" w:rsidR="00161C10" w:rsidRDefault="00CE2C8C">
      <w:pPr>
        <w:pStyle w:val="ListParagraph"/>
        <w:numPr>
          <w:ilvl w:val="0"/>
          <w:numId w:val="2"/>
        </w:numPr>
        <w:tabs>
          <w:tab w:val="left" w:pos="1056"/>
        </w:tabs>
        <w:spacing w:before="2" w:line="276" w:lineRule="auto"/>
        <w:ind w:right="1047"/>
      </w:pPr>
      <w:r>
        <w:t>Does the national framework explain whether a data collection mechanism is in place, i.e. which</w:t>
      </w:r>
      <w:r>
        <w:rPr>
          <w:spacing w:val="-6"/>
        </w:rPr>
        <w:t xml:space="preserve"> </w:t>
      </w:r>
      <w:r>
        <w:t>data</w:t>
      </w:r>
      <w:r>
        <w:rPr>
          <w:spacing w:val="-8"/>
        </w:rPr>
        <w:t xml:space="preserve"> </w:t>
      </w:r>
      <w:r>
        <w:t>will</w:t>
      </w:r>
      <w:r>
        <w:rPr>
          <w:spacing w:val="-3"/>
        </w:rPr>
        <w:t xml:space="preserve"> </w:t>
      </w:r>
      <w:r>
        <w:t>be</w:t>
      </w:r>
      <w:r>
        <w:rPr>
          <w:spacing w:val="-5"/>
        </w:rPr>
        <w:t xml:space="preserve"> </w:t>
      </w:r>
      <w:r>
        <w:t>collected,</w:t>
      </w:r>
      <w:r>
        <w:rPr>
          <w:spacing w:val="-6"/>
        </w:rPr>
        <w:t xml:space="preserve"> </w:t>
      </w:r>
      <w:r>
        <w:t>who</w:t>
      </w:r>
      <w:r>
        <w:rPr>
          <w:spacing w:val="-7"/>
        </w:rPr>
        <w:t xml:space="preserve"> </w:t>
      </w:r>
      <w:r>
        <w:t>will</w:t>
      </w:r>
      <w:r>
        <w:rPr>
          <w:spacing w:val="-4"/>
        </w:rPr>
        <w:t xml:space="preserve"> </w:t>
      </w:r>
      <w:r>
        <w:t>collect</w:t>
      </w:r>
      <w:r>
        <w:rPr>
          <w:spacing w:val="-5"/>
        </w:rPr>
        <w:t xml:space="preserve"> </w:t>
      </w:r>
      <w:r>
        <w:t>it</w:t>
      </w:r>
      <w:r>
        <w:rPr>
          <w:spacing w:val="-5"/>
        </w:rPr>
        <w:t xml:space="preserve"> </w:t>
      </w:r>
      <w:r>
        <w:t>and</w:t>
      </w:r>
      <w:r>
        <w:rPr>
          <w:spacing w:val="-6"/>
        </w:rPr>
        <w:t xml:space="preserve"> </w:t>
      </w:r>
      <w:r>
        <w:t>how,</w:t>
      </w:r>
      <w:r>
        <w:rPr>
          <w:spacing w:val="-3"/>
        </w:rPr>
        <w:t xml:space="preserve"> </w:t>
      </w:r>
      <w:r>
        <w:t>at</w:t>
      </w:r>
      <w:r>
        <w:rPr>
          <w:spacing w:val="-5"/>
        </w:rPr>
        <w:t xml:space="preserve"> </w:t>
      </w:r>
      <w:r>
        <w:t>which</w:t>
      </w:r>
      <w:r>
        <w:rPr>
          <w:spacing w:val="-8"/>
        </w:rPr>
        <w:t xml:space="preserve"> </w:t>
      </w:r>
      <w:r>
        <w:t>frequency?</w:t>
      </w:r>
      <w:r>
        <w:rPr>
          <w:spacing w:val="-3"/>
        </w:rPr>
        <w:t xml:space="preserve"> </w:t>
      </w:r>
      <w:r>
        <w:t>How</w:t>
      </w:r>
      <w:r>
        <w:rPr>
          <w:spacing w:val="-5"/>
        </w:rPr>
        <w:t xml:space="preserve"> </w:t>
      </w:r>
      <w:r>
        <w:t>will</w:t>
      </w:r>
      <w:r>
        <w:rPr>
          <w:spacing w:val="-6"/>
        </w:rPr>
        <w:t xml:space="preserve"> </w:t>
      </w:r>
      <w:r>
        <w:t>data</w:t>
      </w:r>
      <w:r>
        <w:rPr>
          <w:spacing w:val="-5"/>
        </w:rPr>
        <w:t xml:space="preserve"> </w:t>
      </w:r>
      <w:r>
        <w:t>be used? Data should address policy and legal developments, barriers in the environment for persons with disabilities and the situation of persons with disabilities compared to those without disabilities.</w:t>
      </w:r>
    </w:p>
    <w:p w14:paraId="4B1C367B" w14:textId="77777777" w:rsidR="00161C10" w:rsidRDefault="00CE2C8C">
      <w:pPr>
        <w:pStyle w:val="ListParagraph"/>
        <w:numPr>
          <w:ilvl w:val="0"/>
          <w:numId w:val="2"/>
        </w:numPr>
        <w:tabs>
          <w:tab w:val="left" w:pos="1056"/>
        </w:tabs>
        <w:spacing w:before="1" w:line="276" w:lineRule="auto"/>
        <w:ind w:right="1051"/>
      </w:pPr>
      <w:r>
        <w:t>Does</w:t>
      </w:r>
      <w:r>
        <w:rPr>
          <w:spacing w:val="-9"/>
        </w:rPr>
        <w:t xml:space="preserve"> </w:t>
      </w:r>
      <w:r>
        <w:t>the</w:t>
      </w:r>
      <w:r>
        <w:rPr>
          <w:spacing w:val="-9"/>
        </w:rPr>
        <w:t xml:space="preserve"> </w:t>
      </w:r>
      <w:r>
        <w:t>national</w:t>
      </w:r>
      <w:r>
        <w:rPr>
          <w:spacing w:val="-8"/>
        </w:rPr>
        <w:t xml:space="preserve"> </w:t>
      </w:r>
      <w:r>
        <w:t>framework</w:t>
      </w:r>
      <w:r>
        <w:rPr>
          <w:spacing w:val="-9"/>
        </w:rPr>
        <w:t xml:space="preserve"> </w:t>
      </w:r>
      <w:r>
        <w:t>explain</w:t>
      </w:r>
      <w:r>
        <w:rPr>
          <w:spacing w:val="-8"/>
        </w:rPr>
        <w:t xml:space="preserve"> </w:t>
      </w:r>
      <w:r>
        <w:t>how</w:t>
      </w:r>
      <w:r>
        <w:rPr>
          <w:spacing w:val="-9"/>
        </w:rPr>
        <w:t xml:space="preserve"> </w:t>
      </w:r>
      <w:r>
        <w:t>the</w:t>
      </w:r>
      <w:r>
        <w:rPr>
          <w:spacing w:val="-9"/>
        </w:rPr>
        <w:t xml:space="preserve"> </w:t>
      </w:r>
      <w:r>
        <w:t>UNCRPD</w:t>
      </w:r>
      <w:r>
        <w:rPr>
          <w:spacing w:val="-10"/>
        </w:rPr>
        <w:t xml:space="preserve"> </w:t>
      </w:r>
      <w:r>
        <w:t>implementation</w:t>
      </w:r>
      <w:r>
        <w:rPr>
          <w:spacing w:val="-9"/>
        </w:rPr>
        <w:t xml:space="preserve"> </w:t>
      </w:r>
      <w:r>
        <w:t>will</w:t>
      </w:r>
      <w:r>
        <w:rPr>
          <w:spacing w:val="-10"/>
        </w:rPr>
        <w:t xml:space="preserve"> </w:t>
      </w:r>
      <w:r>
        <w:t>be</w:t>
      </w:r>
      <w:r>
        <w:rPr>
          <w:spacing w:val="-9"/>
        </w:rPr>
        <w:t xml:space="preserve"> </w:t>
      </w:r>
      <w:r>
        <w:t>monitored,</w:t>
      </w:r>
      <w:r>
        <w:rPr>
          <w:spacing w:val="23"/>
        </w:rPr>
        <w:t xml:space="preserve"> </w:t>
      </w:r>
      <w:r>
        <w:t xml:space="preserve">i.e. who will </w:t>
      </w:r>
      <w:proofErr w:type="gramStart"/>
      <w:r>
        <w:t>be in charge of</w:t>
      </w:r>
      <w:proofErr w:type="gramEnd"/>
      <w:r>
        <w:t xml:space="preserve"> monitoring it, how often it will be monitored, and how the results of this monitoring will be taken into account?</w:t>
      </w:r>
    </w:p>
    <w:p w14:paraId="1462D957" w14:textId="77777777" w:rsidR="00161C10" w:rsidRDefault="00CE2C8C">
      <w:pPr>
        <w:pStyle w:val="ListParagraph"/>
        <w:numPr>
          <w:ilvl w:val="0"/>
          <w:numId w:val="3"/>
        </w:numPr>
        <w:tabs>
          <w:tab w:val="left" w:pos="642"/>
        </w:tabs>
        <w:spacing w:before="199" w:line="276" w:lineRule="auto"/>
        <w:ind w:left="334" w:right="1117" w:firstLine="50"/>
        <w:jc w:val="left"/>
        <w:rPr>
          <w:b/>
        </w:rPr>
      </w:pPr>
      <w:r>
        <w:rPr>
          <w:b/>
        </w:rPr>
        <w:t>Arrangements</w:t>
      </w:r>
      <w:r>
        <w:rPr>
          <w:b/>
          <w:spacing w:val="35"/>
        </w:rPr>
        <w:t xml:space="preserve"> </w:t>
      </w:r>
      <w:r>
        <w:rPr>
          <w:b/>
        </w:rPr>
        <w:t>to</w:t>
      </w:r>
      <w:r>
        <w:rPr>
          <w:b/>
          <w:spacing w:val="33"/>
        </w:rPr>
        <w:t xml:space="preserve"> </w:t>
      </w:r>
      <w:r>
        <w:rPr>
          <w:b/>
        </w:rPr>
        <w:t>ensure</w:t>
      </w:r>
      <w:r>
        <w:rPr>
          <w:b/>
          <w:spacing w:val="35"/>
        </w:rPr>
        <w:t xml:space="preserve"> </w:t>
      </w:r>
      <w:r>
        <w:rPr>
          <w:b/>
        </w:rPr>
        <w:t>that</w:t>
      </w:r>
      <w:r>
        <w:rPr>
          <w:b/>
          <w:spacing w:val="34"/>
        </w:rPr>
        <w:t xml:space="preserve"> </w:t>
      </w:r>
      <w:r>
        <w:rPr>
          <w:b/>
        </w:rPr>
        <w:t>the</w:t>
      </w:r>
      <w:r>
        <w:rPr>
          <w:b/>
          <w:spacing w:val="33"/>
        </w:rPr>
        <w:t xml:space="preserve"> </w:t>
      </w:r>
      <w:r>
        <w:rPr>
          <w:b/>
        </w:rPr>
        <w:t>accessibility</w:t>
      </w:r>
      <w:r>
        <w:rPr>
          <w:b/>
          <w:spacing w:val="36"/>
        </w:rPr>
        <w:t xml:space="preserve"> </w:t>
      </w:r>
      <w:r>
        <w:rPr>
          <w:b/>
        </w:rPr>
        <w:t>policy,</w:t>
      </w:r>
      <w:r>
        <w:rPr>
          <w:b/>
          <w:spacing w:val="32"/>
        </w:rPr>
        <w:t xml:space="preserve"> </w:t>
      </w:r>
      <w:r>
        <w:rPr>
          <w:b/>
        </w:rPr>
        <w:t>legislation</w:t>
      </w:r>
      <w:r>
        <w:rPr>
          <w:b/>
          <w:spacing w:val="31"/>
        </w:rPr>
        <w:t xml:space="preserve"> </w:t>
      </w:r>
      <w:r>
        <w:rPr>
          <w:b/>
        </w:rPr>
        <w:t>and</w:t>
      </w:r>
      <w:r>
        <w:rPr>
          <w:b/>
          <w:spacing w:val="33"/>
        </w:rPr>
        <w:t xml:space="preserve"> </w:t>
      </w:r>
      <w:r>
        <w:rPr>
          <w:b/>
        </w:rPr>
        <w:t>standards</w:t>
      </w:r>
      <w:r>
        <w:rPr>
          <w:b/>
          <w:spacing w:val="32"/>
        </w:rPr>
        <w:t xml:space="preserve"> </w:t>
      </w:r>
      <w:r>
        <w:rPr>
          <w:b/>
        </w:rPr>
        <w:t>are</w:t>
      </w:r>
      <w:r>
        <w:rPr>
          <w:b/>
          <w:spacing w:val="33"/>
        </w:rPr>
        <w:t xml:space="preserve"> </w:t>
      </w:r>
      <w:r>
        <w:rPr>
          <w:b/>
        </w:rPr>
        <w:t xml:space="preserve">properly reflected in the preparation and implementation of the </w:t>
      </w:r>
      <w:proofErr w:type="spellStart"/>
      <w:r>
        <w:rPr>
          <w:b/>
        </w:rPr>
        <w:t>programmes</w:t>
      </w:r>
      <w:proofErr w:type="spellEnd"/>
    </w:p>
    <w:p w14:paraId="2F388B1D" w14:textId="77777777" w:rsidR="00161C10" w:rsidRDefault="00CE2C8C">
      <w:pPr>
        <w:spacing w:before="199" w:line="276" w:lineRule="auto"/>
        <w:ind w:left="334" w:right="1058"/>
        <w:jc w:val="both"/>
        <w:rPr>
          <w:rFonts w:ascii="Calibri"/>
        </w:rPr>
      </w:pPr>
      <w:r>
        <w:rPr>
          <w:rFonts w:ascii="Calibri"/>
        </w:rPr>
        <w:t xml:space="preserve">This criterion is </w:t>
      </w:r>
      <w:proofErr w:type="spellStart"/>
      <w:proofErr w:type="gramStart"/>
      <w:r>
        <w:rPr>
          <w:rFonts w:ascii="Calibri"/>
        </w:rPr>
        <w:t>programme</w:t>
      </w:r>
      <w:proofErr w:type="spellEnd"/>
      <w:r>
        <w:rPr>
          <w:rFonts w:ascii="Calibri"/>
        </w:rPr>
        <w:t>-specific</w:t>
      </w:r>
      <w:proofErr w:type="gramEnd"/>
      <w:r>
        <w:rPr>
          <w:rFonts w:ascii="Calibri"/>
        </w:rPr>
        <w:t xml:space="preserve">. MSs must have arrangements in place for all </w:t>
      </w:r>
      <w:proofErr w:type="spellStart"/>
      <w:r>
        <w:rPr>
          <w:rFonts w:ascii="Calibri"/>
        </w:rPr>
        <w:t>programmes</w:t>
      </w:r>
      <w:proofErr w:type="spellEnd"/>
      <w:r>
        <w:rPr>
          <w:rFonts w:ascii="Calibri"/>
        </w:rPr>
        <w:t xml:space="preserve">. However, Member States may decide to set out these arrangements in one or several documents covering the specificities of the CPR Funds and </w:t>
      </w:r>
      <w:proofErr w:type="spellStart"/>
      <w:r>
        <w:rPr>
          <w:rFonts w:ascii="Calibri"/>
        </w:rPr>
        <w:t>programmes</w:t>
      </w:r>
      <w:proofErr w:type="spellEnd"/>
      <w:r>
        <w:rPr>
          <w:rFonts w:ascii="Calibri"/>
        </w:rPr>
        <w:t>.</w:t>
      </w:r>
    </w:p>
    <w:p w14:paraId="273DAD54" w14:textId="77777777" w:rsidR="00161C10" w:rsidRDefault="00CE2C8C">
      <w:pPr>
        <w:spacing w:before="204" w:line="276" w:lineRule="auto"/>
        <w:ind w:left="334" w:right="1049"/>
        <w:jc w:val="both"/>
        <w:rPr>
          <w:rFonts w:ascii="Calibri"/>
        </w:rPr>
      </w:pPr>
      <w:r>
        <w:rPr>
          <w:rFonts w:ascii="Calibri"/>
        </w:rPr>
        <w:t xml:space="preserve">The MS should make references to the relevant accessibility policy, legislation and standards (both national and EU) applicable for each </w:t>
      </w:r>
      <w:proofErr w:type="spellStart"/>
      <w:r>
        <w:rPr>
          <w:rFonts w:ascii="Calibri"/>
        </w:rPr>
        <w:t>programme</w:t>
      </w:r>
      <w:proofErr w:type="spellEnd"/>
      <w:r>
        <w:rPr>
          <w:rFonts w:ascii="Calibri"/>
        </w:rPr>
        <w:t xml:space="preserve"> and describe how these will be reflected in the preparation</w:t>
      </w:r>
      <w:r>
        <w:rPr>
          <w:rFonts w:ascii="Calibri"/>
          <w:spacing w:val="-12"/>
        </w:rPr>
        <w:t xml:space="preserve"> </w:t>
      </w:r>
      <w:r>
        <w:rPr>
          <w:rFonts w:ascii="Calibri"/>
        </w:rPr>
        <w:t>and</w:t>
      </w:r>
      <w:r>
        <w:rPr>
          <w:rFonts w:ascii="Calibri"/>
          <w:spacing w:val="-11"/>
        </w:rPr>
        <w:t xml:space="preserve"> </w:t>
      </w:r>
      <w:r>
        <w:rPr>
          <w:rFonts w:ascii="Calibri"/>
        </w:rPr>
        <w:t>implementation</w:t>
      </w:r>
      <w:r>
        <w:rPr>
          <w:rFonts w:ascii="Calibri"/>
          <w:spacing w:val="-11"/>
        </w:rPr>
        <w:t xml:space="preserve"> </w:t>
      </w:r>
      <w:r>
        <w:rPr>
          <w:rFonts w:ascii="Calibri"/>
        </w:rPr>
        <w:t>of</w:t>
      </w:r>
      <w:r>
        <w:rPr>
          <w:rFonts w:ascii="Calibri"/>
          <w:spacing w:val="-12"/>
        </w:rPr>
        <w:t xml:space="preserve"> </w:t>
      </w:r>
      <w:r>
        <w:rPr>
          <w:rFonts w:ascii="Calibri"/>
        </w:rPr>
        <w:t>the</w:t>
      </w:r>
      <w:r>
        <w:rPr>
          <w:rFonts w:ascii="Calibri"/>
          <w:spacing w:val="-11"/>
        </w:rPr>
        <w:t xml:space="preserve"> </w:t>
      </w:r>
      <w:proofErr w:type="spellStart"/>
      <w:r>
        <w:rPr>
          <w:rFonts w:ascii="Calibri"/>
        </w:rPr>
        <w:t>programme</w:t>
      </w:r>
      <w:proofErr w:type="spellEnd"/>
      <w:r>
        <w:rPr>
          <w:rFonts w:ascii="Calibri"/>
        </w:rPr>
        <w:t>,</w:t>
      </w:r>
      <w:r>
        <w:rPr>
          <w:rFonts w:ascii="Calibri"/>
          <w:spacing w:val="-8"/>
        </w:rPr>
        <w:t xml:space="preserve"> </w:t>
      </w:r>
      <w:r>
        <w:rPr>
          <w:rFonts w:ascii="Calibri"/>
        </w:rPr>
        <w:t>and</w:t>
      </w:r>
      <w:r>
        <w:rPr>
          <w:rFonts w:ascii="Calibri"/>
          <w:spacing w:val="-11"/>
        </w:rPr>
        <w:t xml:space="preserve"> </w:t>
      </w:r>
      <w:r>
        <w:rPr>
          <w:rFonts w:ascii="Calibri"/>
        </w:rPr>
        <w:t>how</w:t>
      </w:r>
      <w:r>
        <w:rPr>
          <w:rFonts w:ascii="Calibri"/>
          <w:spacing w:val="16"/>
        </w:rPr>
        <w:t xml:space="preserve"> </w:t>
      </w:r>
      <w:r>
        <w:rPr>
          <w:rFonts w:ascii="Calibri"/>
        </w:rPr>
        <w:t>their</w:t>
      </w:r>
      <w:r>
        <w:rPr>
          <w:rFonts w:ascii="Calibri"/>
          <w:spacing w:val="-11"/>
        </w:rPr>
        <w:t xml:space="preserve"> </w:t>
      </w:r>
      <w:r>
        <w:rPr>
          <w:rFonts w:ascii="Calibri"/>
        </w:rPr>
        <w:t>implementation</w:t>
      </w:r>
      <w:r>
        <w:rPr>
          <w:rFonts w:ascii="Calibri"/>
          <w:spacing w:val="-7"/>
        </w:rPr>
        <w:t xml:space="preserve"> </w:t>
      </w:r>
      <w:r>
        <w:rPr>
          <w:rFonts w:ascii="Calibri"/>
        </w:rPr>
        <w:t>will</w:t>
      </w:r>
      <w:r>
        <w:rPr>
          <w:rFonts w:ascii="Calibri"/>
          <w:spacing w:val="-11"/>
        </w:rPr>
        <w:t xml:space="preserve"> </w:t>
      </w:r>
      <w:r>
        <w:rPr>
          <w:rFonts w:ascii="Calibri"/>
        </w:rPr>
        <w:t>be</w:t>
      </w:r>
      <w:r>
        <w:rPr>
          <w:rFonts w:ascii="Calibri"/>
          <w:spacing w:val="-11"/>
        </w:rPr>
        <w:t xml:space="preserve"> </w:t>
      </w:r>
      <w:r>
        <w:rPr>
          <w:rFonts w:ascii="Calibri"/>
        </w:rPr>
        <w:t>monitored. The accessibility policy, legislation and standards should be in line with the UNCRPD and the national and European anti-discrimination laws on the ground of disability, including in terms of scope, and address barriers encountered by the different disabilities mentioned in Article 1 of the UNCRPD.</w:t>
      </w:r>
    </w:p>
    <w:p w14:paraId="042F4889" w14:textId="77777777" w:rsidR="00161C10" w:rsidRDefault="00161C10">
      <w:pPr>
        <w:pStyle w:val="BodyText"/>
        <w:rPr>
          <w:rFonts w:ascii="Calibri"/>
          <w:sz w:val="20"/>
        </w:rPr>
      </w:pPr>
    </w:p>
    <w:p w14:paraId="24FE5B28" w14:textId="77777777" w:rsidR="00161C10" w:rsidRDefault="00161C10">
      <w:pPr>
        <w:pStyle w:val="BodyText"/>
        <w:rPr>
          <w:rFonts w:ascii="Calibri"/>
          <w:sz w:val="20"/>
        </w:rPr>
      </w:pPr>
    </w:p>
    <w:p w14:paraId="4CFBC786" w14:textId="77777777" w:rsidR="00161C10" w:rsidRDefault="00161C10">
      <w:pPr>
        <w:pStyle w:val="BodyText"/>
        <w:rPr>
          <w:rFonts w:ascii="Calibri"/>
          <w:sz w:val="20"/>
        </w:rPr>
      </w:pPr>
    </w:p>
    <w:p w14:paraId="72225025" w14:textId="77777777" w:rsidR="00161C10" w:rsidRDefault="00161C10">
      <w:pPr>
        <w:pStyle w:val="BodyText"/>
        <w:rPr>
          <w:rFonts w:ascii="Calibri"/>
          <w:sz w:val="20"/>
        </w:rPr>
      </w:pPr>
    </w:p>
    <w:p w14:paraId="29698DEF" w14:textId="77777777" w:rsidR="00161C10" w:rsidRDefault="00161C10">
      <w:pPr>
        <w:pStyle w:val="BodyText"/>
        <w:rPr>
          <w:rFonts w:ascii="Calibri"/>
          <w:sz w:val="20"/>
        </w:rPr>
      </w:pPr>
    </w:p>
    <w:p w14:paraId="5176D247" w14:textId="77777777" w:rsidR="00161C10" w:rsidRDefault="00161C10">
      <w:pPr>
        <w:pStyle w:val="BodyText"/>
        <w:rPr>
          <w:rFonts w:ascii="Calibri"/>
          <w:sz w:val="20"/>
        </w:rPr>
      </w:pPr>
    </w:p>
    <w:p w14:paraId="566DE06F" w14:textId="77777777" w:rsidR="00161C10" w:rsidRDefault="00161C10">
      <w:pPr>
        <w:pStyle w:val="BodyText"/>
        <w:rPr>
          <w:rFonts w:ascii="Calibri"/>
          <w:sz w:val="20"/>
        </w:rPr>
      </w:pPr>
    </w:p>
    <w:p w14:paraId="5047D8B7" w14:textId="77777777" w:rsidR="00161C10" w:rsidRDefault="00161C10">
      <w:pPr>
        <w:pStyle w:val="BodyText"/>
        <w:rPr>
          <w:rFonts w:ascii="Calibri"/>
          <w:sz w:val="20"/>
        </w:rPr>
      </w:pPr>
    </w:p>
    <w:p w14:paraId="6F51CEE0" w14:textId="77777777" w:rsidR="00161C10" w:rsidRDefault="00CE2C8C">
      <w:pPr>
        <w:pStyle w:val="BodyText"/>
        <w:spacing w:before="205"/>
        <w:rPr>
          <w:rFonts w:ascii="Calibri"/>
          <w:sz w:val="20"/>
        </w:rPr>
      </w:pPr>
      <w:r>
        <w:rPr>
          <w:rFonts w:ascii="Calibri"/>
          <w:noProof/>
          <w:sz w:val="20"/>
        </w:rPr>
        <mc:AlternateContent>
          <mc:Choice Requires="wps">
            <w:drawing>
              <wp:anchor distT="0" distB="0" distL="0" distR="0" simplePos="0" relativeHeight="487608320" behindDoc="1" locked="0" layoutInCell="1" allowOverlap="1" wp14:anchorId="40A1A502" wp14:editId="14440B21">
                <wp:simplePos x="0" y="0"/>
                <wp:positionH relativeFrom="page">
                  <wp:posOffset>898525</wp:posOffset>
                </wp:positionH>
                <wp:positionV relativeFrom="paragraph">
                  <wp:posOffset>300898</wp:posOffset>
                </wp:positionV>
                <wp:extent cx="1830070" cy="9525"/>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E0E43D" id="Graphic 56" o:spid="_x0000_s1026" style="position:absolute;margin-left:70.75pt;margin-top:23.7pt;width:144.1pt;height:.75pt;z-index:-15708160;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" path="m1829816,l,,,9524r1829816,l1829816,xe" fillcolor="black" stroked="f">
                <v:path arrowok="t"/>
                <w10:wrap type="topAndBottom" anchorx="page"/>
              </v:shape>
            </w:pict>
          </mc:Fallback>
        </mc:AlternateContent>
      </w:r>
    </w:p>
    <w:p w14:paraId="307A64E2" w14:textId="77777777" w:rsidR="00161C10" w:rsidRDefault="00CE2C8C">
      <w:pPr>
        <w:spacing w:before="97"/>
        <w:ind w:left="334"/>
        <w:rPr>
          <w:rFonts w:ascii="Calibri"/>
          <w:sz w:val="20"/>
        </w:rPr>
      </w:pPr>
      <w:r>
        <w:rPr>
          <w:rFonts w:ascii="Calibri"/>
          <w:position w:val="6"/>
          <w:sz w:val="13"/>
        </w:rPr>
        <w:t>2</w:t>
      </w:r>
      <w:r>
        <w:rPr>
          <w:rFonts w:ascii="Calibri"/>
          <w:spacing w:val="9"/>
          <w:position w:val="6"/>
          <w:sz w:val="13"/>
        </w:rPr>
        <w:t xml:space="preserve"> </w:t>
      </w:r>
      <w:r>
        <w:rPr>
          <w:rFonts w:ascii="Calibri"/>
          <w:spacing w:val="-2"/>
          <w:sz w:val="20"/>
        </w:rPr>
        <w:t>https://</w:t>
      </w:r>
      <w:hyperlink r:id="rId126">
        <w:r>
          <w:rPr>
            <w:rFonts w:ascii="Calibri"/>
            <w:spacing w:val="-2"/>
            <w:sz w:val="20"/>
          </w:rPr>
          <w:t>www.ohchr.org/EN/HRBodies/CRPD/Pages/CRPDIndex.aspx</w:t>
        </w:r>
      </w:hyperlink>
    </w:p>
    <w:p w14:paraId="627CEF2B" w14:textId="77777777" w:rsidR="00161C10" w:rsidRDefault="00CE2C8C">
      <w:pPr>
        <w:spacing w:before="1"/>
        <w:ind w:left="334"/>
        <w:rPr>
          <w:rFonts w:ascii="Calibri"/>
          <w:sz w:val="20"/>
        </w:rPr>
      </w:pPr>
      <w:r>
        <w:rPr>
          <w:rFonts w:ascii="Calibri"/>
          <w:position w:val="6"/>
          <w:sz w:val="13"/>
        </w:rPr>
        <w:t>3</w:t>
      </w:r>
      <w:r>
        <w:rPr>
          <w:rFonts w:ascii="Calibri"/>
          <w:spacing w:val="4"/>
          <w:position w:val="6"/>
          <w:sz w:val="13"/>
        </w:rPr>
        <w:t xml:space="preserve"> </w:t>
      </w:r>
      <w:r>
        <w:rPr>
          <w:rFonts w:ascii="Calibri"/>
          <w:sz w:val="20"/>
        </w:rPr>
        <w:t>Documents</w:t>
      </w:r>
      <w:r>
        <w:rPr>
          <w:rFonts w:ascii="Calibri"/>
          <w:spacing w:val="-3"/>
          <w:sz w:val="20"/>
        </w:rPr>
        <w:t xml:space="preserve"> </w:t>
      </w:r>
      <w:r>
        <w:rPr>
          <w:rFonts w:ascii="Calibri"/>
          <w:sz w:val="20"/>
        </w:rPr>
        <w:t>are</w:t>
      </w:r>
      <w:r>
        <w:rPr>
          <w:rFonts w:ascii="Calibri"/>
          <w:spacing w:val="-7"/>
          <w:sz w:val="20"/>
        </w:rPr>
        <w:t xml:space="preserve"> </w:t>
      </w:r>
      <w:r>
        <w:rPr>
          <w:rFonts w:ascii="Calibri"/>
          <w:sz w:val="20"/>
        </w:rPr>
        <w:t>available</w:t>
      </w:r>
      <w:r>
        <w:rPr>
          <w:rFonts w:ascii="Calibri"/>
          <w:spacing w:val="-6"/>
          <w:sz w:val="20"/>
        </w:rPr>
        <w:t xml:space="preserve"> </w:t>
      </w:r>
      <w:r>
        <w:rPr>
          <w:rFonts w:ascii="Calibri"/>
          <w:sz w:val="20"/>
        </w:rPr>
        <w:t>in</w:t>
      </w:r>
      <w:r>
        <w:rPr>
          <w:rFonts w:ascii="Calibri"/>
          <w:spacing w:val="-6"/>
          <w:sz w:val="20"/>
        </w:rPr>
        <w:t xml:space="preserve"> </w:t>
      </w:r>
      <w:r>
        <w:rPr>
          <w:rFonts w:ascii="Calibri"/>
          <w:sz w:val="20"/>
        </w:rPr>
        <w:t>the</w:t>
      </w:r>
      <w:r>
        <w:rPr>
          <w:rFonts w:ascii="Calibri"/>
          <w:spacing w:val="-7"/>
          <w:sz w:val="20"/>
        </w:rPr>
        <w:t xml:space="preserve"> </w:t>
      </w:r>
      <w:r>
        <w:rPr>
          <w:rFonts w:ascii="Calibri"/>
          <w:sz w:val="20"/>
        </w:rPr>
        <w:t>menu</w:t>
      </w:r>
      <w:r>
        <w:rPr>
          <w:rFonts w:ascii="Calibri"/>
          <w:spacing w:val="-5"/>
          <w:sz w:val="20"/>
        </w:rPr>
        <w:t xml:space="preserve"> </w:t>
      </w:r>
      <w:r>
        <w:rPr>
          <w:rFonts w:ascii="Calibri"/>
          <w:sz w:val="20"/>
        </w:rPr>
        <w:t>on</w:t>
      </w:r>
      <w:r>
        <w:rPr>
          <w:rFonts w:ascii="Calibri"/>
          <w:spacing w:val="-2"/>
          <w:sz w:val="20"/>
        </w:rPr>
        <w:t xml:space="preserve"> </w:t>
      </w:r>
      <w:r>
        <w:rPr>
          <w:rFonts w:ascii="Calibri"/>
          <w:sz w:val="20"/>
        </w:rPr>
        <w:t>the</w:t>
      </w:r>
      <w:r>
        <w:rPr>
          <w:rFonts w:ascii="Calibri"/>
          <w:spacing w:val="-7"/>
          <w:sz w:val="20"/>
        </w:rPr>
        <w:t xml:space="preserve"> </w:t>
      </w:r>
      <w:proofErr w:type="gramStart"/>
      <w:r>
        <w:rPr>
          <w:rFonts w:ascii="Calibri"/>
          <w:sz w:val="20"/>
        </w:rPr>
        <w:t>left</w:t>
      </w:r>
      <w:r>
        <w:rPr>
          <w:rFonts w:ascii="Calibri"/>
          <w:spacing w:val="-4"/>
          <w:sz w:val="20"/>
        </w:rPr>
        <w:t xml:space="preserve"> </w:t>
      </w:r>
      <w:r>
        <w:rPr>
          <w:rFonts w:ascii="Calibri"/>
          <w:sz w:val="20"/>
        </w:rPr>
        <w:t>hand</w:t>
      </w:r>
      <w:proofErr w:type="gramEnd"/>
      <w:r>
        <w:rPr>
          <w:rFonts w:ascii="Calibri"/>
          <w:spacing w:val="-5"/>
          <w:sz w:val="20"/>
        </w:rPr>
        <w:t xml:space="preserve"> </w:t>
      </w:r>
      <w:r>
        <w:rPr>
          <w:rFonts w:ascii="Calibri"/>
          <w:spacing w:val="-4"/>
          <w:sz w:val="20"/>
        </w:rPr>
        <w:t>side.</w:t>
      </w:r>
    </w:p>
    <w:p w14:paraId="6DF01FE2" w14:textId="77777777" w:rsidR="00161C10" w:rsidRDefault="00161C10">
      <w:pPr>
        <w:rPr>
          <w:rFonts w:ascii="Calibri"/>
          <w:sz w:val="20"/>
        </w:rPr>
        <w:sectPr w:rsidR="00161C10">
          <w:footerReference w:type="default" r:id="rId127"/>
          <w:pgSz w:w="11920" w:h="16850"/>
          <w:pgMar w:top="1380" w:right="360" w:bottom="280" w:left="1080" w:header="0" w:footer="0" w:gutter="0"/>
          <w:cols w:space="720"/>
        </w:sectPr>
      </w:pPr>
    </w:p>
    <w:p w14:paraId="30040415" w14:textId="77777777" w:rsidR="00161C10" w:rsidRDefault="00CE2C8C">
      <w:pPr>
        <w:spacing w:before="35" w:line="276" w:lineRule="auto"/>
        <w:ind w:left="334" w:right="1048"/>
        <w:jc w:val="both"/>
        <w:rPr>
          <w:rFonts w:ascii="Calibri"/>
        </w:rPr>
      </w:pPr>
      <w:r>
        <w:rPr>
          <w:rFonts w:ascii="Calibri"/>
        </w:rPr>
        <w:lastRenderedPageBreak/>
        <w:t>Mandate</w:t>
      </w:r>
      <w:r>
        <w:rPr>
          <w:rFonts w:ascii="Calibri"/>
          <w:spacing w:val="-8"/>
        </w:rPr>
        <w:t xml:space="preserve"> </w:t>
      </w:r>
      <w:r>
        <w:rPr>
          <w:rFonts w:ascii="Calibri"/>
        </w:rPr>
        <w:t>473</w:t>
      </w:r>
      <w:r>
        <w:rPr>
          <w:rFonts w:ascii="Calibri"/>
          <w:spacing w:val="-6"/>
        </w:rPr>
        <w:t xml:space="preserve"> </w:t>
      </w:r>
      <w:r>
        <w:rPr>
          <w:rFonts w:ascii="Calibri"/>
        </w:rPr>
        <w:t>(EN</w:t>
      </w:r>
      <w:r>
        <w:rPr>
          <w:rFonts w:ascii="Calibri"/>
          <w:spacing w:val="-10"/>
        </w:rPr>
        <w:t xml:space="preserve"> </w:t>
      </w:r>
      <w:r>
        <w:rPr>
          <w:rFonts w:ascii="Calibri"/>
        </w:rPr>
        <w:t>17161)</w:t>
      </w:r>
      <w:r>
        <w:rPr>
          <w:rFonts w:ascii="Calibri"/>
          <w:spacing w:val="-8"/>
        </w:rPr>
        <w:t xml:space="preserve"> </w:t>
      </w:r>
      <w:r>
        <w:rPr>
          <w:rFonts w:ascii="Calibri"/>
        </w:rPr>
        <w:t>provides</w:t>
      </w:r>
      <w:r>
        <w:rPr>
          <w:rFonts w:ascii="Calibri"/>
          <w:spacing w:val="-6"/>
        </w:rPr>
        <w:t xml:space="preserve"> </w:t>
      </w:r>
      <w:r>
        <w:rPr>
          <w:rFonts w:ascii="Calibri"/>
        </w:rPr>
        <w:t>examples</w:t>
      </w:r>
      <w:r>
        <w:rPr>
          <w:rFonts w:ascii="Calibri"/>
          <w:spacing w:val="-8"/>
        </w:rPr>
        <w:t xml:space="preserve"> </w:t>
      </w:r>
      <w:r>
        <w:rPr>
          <w:rFonts w:ascii="Calibri"/>
        </w:rPr>
        <w:t>of</w:t>
      </w:r>
      <w:r>
        <w:rPr>
          <w:rFonts w:ascii="Calibri"/>
          <w:spacing w:val="-6"/>
        </w:rPr>
        <w:t xml:space="preserve"> </w:t>
      </w:r>
      <w:r>
        <w:rPr>
          <w:rFonts w:ascii="Calibri"/>
        </w:rPr>
        <w:t>how</w:t>
      </w:r>
      <w:r>
        <w:rPr>
          <w:rFonts w:ascii="Calibri"/>
          <w:spacing w:val="-8"/>
        </w:rPr>
        <w:t xml:space="preserve"> </w:t>
      </w:r>
      <w:r>
        <w:rPr>
          <w:rFonts w:ascii="Calibri"/>
        </w:rPr>
        <w:t>an</w:t>
      </w:r>
      <w:r>
        <w:rPr>
          <w:rFonts w:ascii="Calibri"/>
          <w:spacing w:val="-7"/>
        </w:rPr>
        <w:t xml:space="preserve"> </w:t>
      </w:r>
      <w:proofErr w:type="spellStart"/>
      <w:r>
        <w:rPr>
          <w:rFonts w:ascii="Calibri"/>
        </w:rPr>
        <w:t>organisation</w:t>
      </w:r>
      <w:proofErr w:type="spellEnd"/>
      <w:r>
        <w:rPr>
          <w:rFonts w:ascii="Calibri"/>
          <w:spacing w:val="-7"/>
        </w:rPr>
        <w:t xml:space="preserve"> </w:t>
      </w:r>
      <w:r>
        <w:rPr>
          <w:rFonts w:ascii="Calibri"/>
        </w:rPr>
        <w:t>can</w:t>
      </w:r>
      <w:r>
        <w:rPr>
          <w:rFonts w:ascii="Calibri"/>
          <w:spacing w:val="-7"/>
        </w:rPr>
        <w:t xml:space="preserve"> </w:t>
      </w:r>
      <w:r>
        <w:rPr>
          <w:rFonts w:ascii="Calibri"/>
        </w:rPr>
        <w:t>take</w:t>
      </w:r>
      <w:r>
        <w:rPr>
          <w:rFonts w:ascii="Calibri"/>
          <w:spacing w:val="-5"/>
        </w:rPr>
        <w:t xml:space="preserve"> </w:t>
      </w:r>
      <w:r>
        <w:rPr>
          <w:rFonts w:ascii="Calibri"/>
        </w:rPr>
        <w:t>accessibility</w:t>
      </w:r>
      <w:r>
        <w:rPr>
          <w:rFonts w:ascii="Calibri"/>
          <w:spacing w:val="-6"/>
        </w:rPr>
        <w:t xml:space="preserve"> </w:t>
      </w:r>
      <w:r>
        <w:rPr>
          <w:rFonts w:ascii="Calibri"/>
        </w:rPr>
        <w:t>into</w:t>
      </w:r>
      <w:r>
        <w:rPr>
          <w:rFonts w:ascii="Calibri"/>
          <w:spacing w:val="-5"/>
        </w:rPr>
        <w:t xml:space="preserve"> </w:t>
      </w:r>
      <w:r>
        <w:rPr>
          <w:rFonts w:ascii="Calibri"/>
        </w:rPr>
        <w:t>account and</w:t>
      </w:r>
      <w:r>
        <w:rPr>
          <w:rFonts w:ascii="Calibri"/>
          <w:spacing w:val="-7"/>
        </w:rPr>
        <w:t xml:space="preserve"> </w:t>
      </w:r>
      <w:r>
        <w:rPr>
          <w:rFonts w:ascii="Calibri"/>
        </w:rPr>
        <w:t>make</w:t>
      </w:r>
      <w:r>
        <w:rPr>
          <w:rFonts w:ascii="Calibri"/>
          <w:spacing w:val="-6"/>
        </w:rPr>
        <w:t xml:space="preserve"> </w:t>
      </w:r>
      <w:r>
        <w:rPr>
          <w:rFonts w:ascii="Calibri"/>
        </w:rPr>
        <w:t>the</w:t>
      </w:r>
      <w:r>
        <w:rPr>
          <w:rFonts w:ascii="Calibri"/>
          <w:spacing w:val="-7"/>
        </w:rPr>
        <w:t xml:space="preserve"> </w:t>
      </w:r>
      <w:r>
        <w:rPr>
          <w:rFonts w:ascii="Calibri"/>
        </w:rPr>
        <w:t>results</w:t>
      </w:r>
      <w:r>
        <w:rPr>
          <w:rFonts w:ascii="Calibri"/>
          <w:spacing w:val="-9"/>
        </w:rPr>
        <w:t xml:space="preserve"> </w:t>
      </w:r>
      <w:r>
        <w:rPr>
          <w:rFonts w:ascii="Calibri"/>
        </w:rPr>
        <w:t>of</w:t>
      </w:r>
      <w:r>
        <w:rPr>
          <w:rFonts w:ascii="Calibri"/>
          <w:spacing w:val="-6"/>
        </w:rPr>
        <w:t xml:space="preserve"> </w:t>
      </w:r>
      <w:r>
        <w:rPr>
          <w:rFonts w:ascii="Calibri"/>
        </w:rPr>
        <w:t>their</w:t>
      </w:r>
      <w:r>
        <w:rPr>
          <w:rFonts w:ascii="Calibri"/>
          <w:spacing w:val="-7"/>
        </w:rPr>
        <w:t xml:space="preserve"> </w:t>
      </w:r>
      <w:r>
        <w:rPr>
          <w:rFonts w:ascii="Calibri"/>
        </w:rPr>
        <w:t>actions</w:t>
      </w:r>
      <w:r>
        <w:rPr>
          <w:rFonts w:ascii="Calibri"/>
          <w:spacing w:val="-7"/>
        </w:rPr>
        <w:t xml:space="preserve"> </w:t>
      </w:r>
      <w:r>
        <w:rPr>
          <w:rFonts w:ascii="Calibri"/>
        </w:rPr>
        <w:t>accessible</w:t>
      </w:r>
      <w:r>
        <w:rPr>
          <w:rFonts w:ascii="Calibri"/>
          <w:spacing w:val="-6"/>
        </w:rPr>
        <w:t xml:space="preserve"> </w:t>
      </w:r>
      <w:r>
        <w:rPr>
          <w:rFonts w:ascii="Calibri"/>
        </w:rPr>
        <w:t>following</w:t>
      </w:r>
      <w:r>
        <w:rPr>
          <w:rFonts w:ascii="Calibri"/>
          <w:spacing w:val="-7"/>
        </w:rPr>
        <w:t xml:space="preserve"> </w:t>
      </w:r>
      <w:r>
        <w:rPr>
          <w:rFonts w:ascii="Calibri"/>
        </w:rPr>
        <w:t>a</w:t>
      </w:r>
      <w:r>
        <w:rPr>
          <w:rFonts w:ascii="Calibri"/>
          <w:spacing w:val="-7"/>
        </w:rPr>
        <w:t xml:space="preserve"> </w:t>
      </w:r>
      <w:r>
        <w:rPr>
          <w:rFonts w:ascii="Calibri"/>
        </w:rPr>
        <w:t>Design</w:t>
      </w:r>
      <w:r>
        <w:rPr>
          <w:rFonts w:ascii="Calibri"/>
          <w:spacing w:val="-7"/>
        </w:rPr>
        <w:t xml:space="preserve"> </w:t>
      </w:r>
      <w:r>
        <w:rPr>
          <w:rFonts w:ascii="Calibri"/>
        </w:rPr>
        <w:t>for</w:t>
      </w:r>
      <w:r>
        <w:rPr>
          <w:rFonts w:ascii="Calibri"/>
          <w:spacing w:val="-7"/>
        </w:rPr>
        <w:t xml:space="preserve"> </w:t>
      </w:r>
      <w:r>
        <w:rPr>
          <w:rFonts w:ascii="Calibri"/>
        </w:rPr>
        <w:t>all</w:t>
      </w:r>
      <w:r>
        <w:rPr>
          <w:rFonts w:ascii="Calibri"/>
          <w:spacing w:val="-8"/>
        </w:rPr>
        <w:t xml:space="preserve"> </w:t>
      </w:r>
      <w:r>
        <w:rPr>
          <w:rFonts w:ascii="Calibri"/>
        </w:rPr>
        <w:t>approach.</w:t>
      </w:r>
      <w:r>
        <w:rPr>
          <w:rFonts w:ascii="Calibri"/>
          <w:spacing w:val="-6"/>
        </w:rPr>
        <w:t xml:space="preserve"> </w:t>
      </w:r>
      <w:r>
        <w:rPr>
          <w:rFonts w:ascii="Calibri"/>
        </w:rPr>
        <w:t>This</w:t>
      </w:r>
      <w:r>
        <w:rPr>
          <w:rFonts w:ascii="Calibri"/>
          <w:spacing w:val="-7"/>
        </w:rPr>
        <w:t xml:space="preserve"> </w:t>
      </w:r>
      <w:r>
        <w:rPr>
          <w:rFonts w:ascii="Calibri"/>
        </w:rPr>
        <w:t>document</w:t>
      </w:r>
      <w:r>
        <w:rPr>
          <w:rFonts w:ascii="Calibri"/>
          <w:spacing w:val="-6"/>
        </w:rPr>
        <w:t xml:space="preserve"> </w:t>
      </w:r>
      <w:r>
        <w:rPr>
          <w:rFonts w:ascii="Calibri"/>
        </w:rPr>
        <w:t>can be requested from</w:t>
      </w:r>
      <w:r>
        <w:rPr>
          <w:rFonts w:ascii="Calibri"/>
          <w:spacing w:val="40"/>
        </w:rPr>
        <w:t xml:space="preserve"> </w:t>
      </w:r>
      <w:r>
        <w:rPr>
          <w:rFonts w:ascii="Calibri"/>
        </w:rPr>
        <w:t>DG GROW</w:t>
      </w:r>
      <w:r>
        <w:rPr>
          <w:rFonts w:ascii="Calibri"/>
          <w:vertAlign w:val="superscript"/>
        </w:rPr>
        <w:t>4</w:t>
      </w:r>
      <w:r>
        <w:rPr>
          <w:rFonts w:ascii="Calibri"/>
          <w:spacing w:val="40"/>
        </w:rPr>
        <w:t xml:space="preserve"> </w:t>
      </w:r>
      <w:r>
        <w:rPr>
          <w:rFonts w:ascii="Calibri"/>
        </w:rPr>
        <w:t xml:space="preserve">or the Committee for </w:t>
      </w:r>
      <w:proofErr w:type="spellStart"/>
      <w:r>
        <w:rPr>
          <w:rFonts w:ascii="Calibri"/>
        </w:rPr>
        <w:t>Standardisation</w:t>
      </w:r>
      <w:proofErr w:type="spellEnd"/>
      <w:r>
        <w:rPr>
          <w:rFonts w:ascii="Calibri"/>
        </w:rPr>
        <w:t xml:space="preserve"> (CEN)</w:t>
      </w:r>
      <w:r>
        <w:rPr>
          <w:rFonts w:ascii="Calibri"/>
          <w:vertAlign w:val="superscript"/>
        </w:rPr>
        <w:t>5</w:t>
      </w:r>
      <w:r>
        <w:rPr>
          <w:rFonts w:ascii="Calibri"/>
        </w:rPr>
        <w:t>.</w:t>
      </w:r>
    </w:p>
    <w:p w14:paraId="251D7186" w14:textId="77777777" w:rsidR="00161C10" w:rsidRDefault="00CE2C8C">
      <w:pPr>
        <w:spacing w:before="204" w:line="276" w:lineRule="auto"/>
        <w:ind w:left="334" w:right="1044"/>
        <w:jc w:val="both"/>
        <w:rPr>
          <w:rFonts w:ascii="Calibri"/>
        </w:rPr>
      </w:pPr>
      <w:r>
        <w:rPr>
          <w:rFonts w:ascii="Calibri"/>
        </w:rPr>
        <w:t xml:space="preserve">Concerning product, services and infrastructures, Annex I of Directive 2019/882 contains a list of accessibility requirements. Concerning the Built environment accessibility, the standard from Mandate 420, namely EN 17210 provides guidance on what requirements should be included. Similarly, in relation to ICT accessibility, the standard from Mandate </w:t>
      </w:r>
      <w:proofErr w:type="gramStart"/>
      <w:r>
        <w:rPr>
          <w:rFonts w:ascii="Calibri"/>
        </w:rPr>
        <w:t>376 ,namely</w:t>
      </w:r>
      <w:proofErr w:type="gramEnd"/>
      <w:r>
        <w:rPr>
          <w:rFonts w:ascii="Calibri"/>
        </w:rPr>
        <w:t xml:space="preserve"> EN 301549 contains a list of accessibility requirements.</w:t>
      </w:r>
    </w:p>
    <w:p w14:paraId="7598D7A0" w14:textId="77777777" w:rsidR="00161C10" w:rsidRDefault="00CE2C8C">
      <w:pPr>
        <w:spacing w:before="201"/>
        <w:ind w:left="334"/>
        <w:jc w:val="both"/>
        <w:rPr>
          <w:rFonts w:ascii="Calibri"/>
          <w:b/>
        </w:rPr>
      </w:pPr>
      <w:r>
        <w:rPr>
          <w:rFonts w:ascii="Calibri"/>
          <w:b/>
        </w:rPr>
        <w:t>Guiding</w:t>
      </w:r>
      <w:r>
        <w:rPr>
          <w:rFonts w:ascii="Calibri"/>
          <w:b/>
          <w:spacing w:val="-7"/>
        </w:rPr>
        <w:t xml:space="preserve"> </w:t>
      </w:r>
      <w:r>
        <w:rPr>
          <w:rFonts w:ascii="Calibri"/>
          <w:b/>
          <w:spacing w:val="-2"/>
        </w:rPr>
        <w:t>questions:</w:t>
      </w:r>
    </w:p>
    <w:p w14:paraId="03950CF0" w14:textId="77777777" w:rsidR="00161C10" w:rsidRDefault="00CE2C8C">
      <w:pPr>
        <w:pStyle w:val="ListParagraph"/>
        <w:numPr>
          <w:ilvl w:val="0"/>
          <w:numId w:val="1"/>
        </w:numPr>
        <w:tabs>
          <w:tab w:val="left" w:pos="1056"/>
        </w:tabs>
        <w:spacing w:before="238" w:line="276" w:lineRule="auto"/>
        <w:ind w:right="1059"/>
      </w:pPr>
      <w:r>
        <w:t xml:space="preserve">Does the Member State explain/set out the role and tasks of the different authorities and bodies (i.e. managing authorities, intermediate bodies, coordinating bodies and audit authorities) in ensuring that the accessibility policy, legislation and standards are properly reflected in the preparation and implementation of the </w:t>
      </w:r>
      <w:proofErr w:type="spellStart"/>
      <w:r>
        <w:t>programmes</w:t>
      </w:r>
      <w:proofErr w:type="spellEnd"/>
      <w:r>
        <w:t>? Who is involved and when? Is there a contact point in these authorities (good practice but not mandatory)?</w:t>
      </w:r>
    </w:p>
    <w:p w14:paraId="081E17C0" w14:textId="77777777" w:rsidR="00161C10" w:rsidRDefault="00CE2C8C">
      <w:pPr>
        <w:pStyle w:val="ListParagraph"/>
        <w:numPr>
          <w:ilvl w:val="0"/>
          <w:numId w:val="1"/>
        </w:numPr>
        <w:tabs>
          <w:tab w:val="left" w:pos="1056"/>
        </w:tabs>
        <w:spacing w:line="276" w:lineRule="auto"/>
        <w:ind w:right="1059"/>
      </w:pPr>
      <w:r>
        <w:t xml:space="preserve">Are the right partners involved, i.e. fundamental rights/disability/equality bodies and representatives from civil society </w:t>
      </w:r>
      <w:proofErr w:type="spellStart"/>
      <w:r>
        <w:t>organisations</w:t>
      </w:r>
      <w:proofErr w:type="spellEnd"/>
      <w:r>
        <w:t>?</w:t>
      </w:r>
    </w:p>
    <w:p w14:paraId="0581DBF2" w14:textId="77777777" w:rsidR="00161C10" w:rsidRDefault="00CE2C8C">
      <w:pPr>
        <w:pStyle w:val="ListParagraph"/>
        <w:numPr>
          <w:ilvl w:val="0"/>
          <w:numId w:val="1"/>
        </w:numPr>
        <w:tabs>
          <w:tab w:val="left" w:pos="1056"/>
        </w:tabs>
        <w:spacing w:before="3" w:line="276" w:lineRule="auto"/>
        <w:ind w:right="1052"/>
      </w:pPr>
      <w:r>
        <w:t>Does</w:t>
      </w:r>
      <w:r>
        <w:rPr>
          <w:spacing w:val="-12"/>
        </w:rPr>
        <w:t xml:space="preserve"> </w:t>
      </w:r>
      <w:r>
        <w:t>the</w:t>
      </w:r>
      <w:r>
        <w:rPr>
          <w:spacing w:val="-13"/>
        </w:rPr>
        <w:t xml:space="preserve"> </w:t>
      </w:r>
      <w:r>
        <w:t>Member</w:t>
      </w:r>
      <w:r>
        <w:rPr>
          <w:spacing w:val="-10"/>
        </w:rPr>
        <w:t xml:space="preserve"> </w:t>
      </w:r>
      <w:r>
        <w:t>State</w:t>
      </w:r>
      <w:r>
        <w:rPr>
          <w:spacing w:val="-11"/>
        </w:rPr>
        <w:t xml:space="preserve"> </w:t>
      </w:r>
      <w:r>
        <w:t>explain</w:t>
      </w:r>
      <w:r>
        <w:rPr>
          <w:spacing w:val="-10"/>
        </w:rPr>
        <w:t xml:space="preserve"> </w:t>
      </w:r>
      <w:r>
        <w:t>how</w:t>
      </w:r>
      <w:r>
        <w:rPr>
          <w:spacing w:val="-11"/>
        </w:rPr>
        <w:t xml:space="preserve"> </w:t>
      </w:r>
      <w:r>
        <w:t>the</w:t>
      </w:r>
      <w:r>
        <w:rPr>
          <w:spacing w:val="-11"/>
        </w:rPr>
        <w:t xml:space="preserve"> </w:t>
      </w:r>
      <w:r>
        <w:t>compliance</w:t>
      </w:r>
      <w:r>
        <w:rPr>
          <w:spacing w:val="-11"/>
        </w:rPr>
        <w:t xml:space="preserve"> </w:t>
      </w:r>
      <w:r>
        <w:t>with</w:t>
      </w:r>
      <w:r>
        <w:rPr>
          <w:spacing w:val="-9"/>
        </w:rPr>
        <w:t xml:space="preserve"> </w:t>
      </w:r>
      <w:r>
        <w:t>the</w:t>
      </w:r>
      <w:r>
        <w:rPr>
          <w:spacing w:val="-11"/>
        </w:rPr>
        <w:t xml:space="preserve"> </w:t>
      </w:r>
      <w:r>
        <w:t>UNCRPD,</w:t>
      </w:r>
      <w:r>
        <w:rPr>
          <w:spacing w:val="-11"/>
        </w:rPr>
        <w:t xml:space="preserve"> </w:t>
      </w:r>
      <w:r>
        <w:t>anti-discrimination</w:t>
      </w:r>
      <w:r>
        <w:rPr>
          <w:spacing w:val="-9"/>
        </w:rPr>
        <w:t xml:space="preserve"> </w:t>
      </w:r>
      <w:r>
        <w:t xml:space="preserve">law on the ground of disability and accessibility will be checked at all stages of programming and </w:t>
      </w:r>
      <w:proofErr w:type="gramStart"/>
      <w:r>
        <w:t>in particular when</w:t>
      </w:r>
      <w:proofErr w:type="gramEnd"/>
      <w:r>
        <w:t>:</w:t>
      </w:r>
    </w:p>
    <w:p w14:paraId="61DF996B" w14:textId="77777777" w:rsidR="00161C10" w:rsidRDefault="00CE2C8C">
      <w:pPr>
        <w:pStyle w:val="ListParagraph"/>
        <w:numPr>
          <w:ilvl w:val="1"/>
          <w:numId w:val="1"/>
        </w:numPr>
        <w:tabs>
          <w:tab w:val="left" w:pos="1776"/>
        </w:tabs>
        <w:spacing w:line="271" w:lineRule="auto"/>
        <w:ind w:right="1058"/>
      </w:pPr>
      <w:r>
        <w:t>Establishing</w:t>
      </w:r>
      <w:r>
        <w:rPr>
          <w:spacing w:val="-11"/>
        </w:rPr>
        <w:t xml:space="preserve"> </w:t>
      </w:r>
      <w:r>
        <w:t>the</w:t>
      </w:r>
      <w:r>
        <w:rPr>
          <w:spacing w:val="-13"/>
        </w:rPr>
        <w:t xml:space="preserve"> </w:t>
      </w:r>
      <w:r>
        <w:t>funds</w:t>
      </w:r>
      <w:r>
        <w:rPr>
          <w:spacing w:val="-10"/>
        </w:rPr>
        <w:t xml:space="preserve"> </w:t>
      </w:r>
      <w:r>
        <w:t>intervention</w:t>
      </w:r>
      <w:r>
        <w:rPr>
          <w:spacing w:val="-11"/>
        </w:rPr>
        <w:t xml:space="preserve"> </w:t>
      </w:r>
      <w:r>
        <w:t>strategy</w:t>
      </w:r>
      <w:r>
        <w:rPr>
          <w:spacing w:val="-13"/>
        </w:rPr>
        <w:t xml:space="preserve"> </w:t>
      </w:r>
      <w:r>
        <w:t>and</w:t>
      </w:r>
      <w:r>
        <w:rPr>
          <w:spacing w:val="-11"/>
        </w:rPr>
        <w:t xml:space="preserve"> </w:t>
      </w:r>
      <w:r>
        <w:t>drawing</w:t>
      </w:r>
      <w:r>
        <w:rPr>
          <w:spacing w:val="-12"/>
        </w:rPr>
        <w:t xml:space="preserve"> </w:t>
      </w:r>
      <w:r>
        <w:t>up</w:t>
      </w:r>
      <w:r>
        <w:rPr>
          <w:spacing w:val="-12"/>
        </w:rPr>
        <w:t xml:space="preserve"> </w:t>
      </w:r>
      <w:r>
        <w:t>programming</w:t>
      </w:r>
      <w:r>
        <w:rPr>
          <w:spacing w:val="-11"/>
        </w:rPr>
        <w:t xml:space="preserve"> </w:t>
      </w:r>
      <w:r>
        <w:t>documents, including</w:t>
      </w:r>
      <w:r>
        <w:rPr>
          <w:spacing w:val="-6"/>
        </w:rPr>
        <w:t xml:space="preserve"> </w:t>
      </w:r>
      <w:r>
        <w:t>the</w:t>
      </w:r>
      <w:r>
        <w:rPr>
          <w:spacing w:val="-9"/>
        </w:rPr>
        <w:t xml:space="preserve"> </w:t>
      </w:r>
      <w:r>
        <w:t>preparation</w:t>
      </w:r>
      <w:r>
        <w:rPr>
          <w:spacing w:val="-12"/>
        </w:rPr>
        <w:t xml:space="preserve"> </w:t>
      </w:r>
      <w:r>
        <w:t>of</w:t>
      </w:r>
      <w:r>
        <w:rPr>
          <w:spacing w:val="-9"/>
        </w:rPr>
        <w:t xml:space="preserve"> </w:t>
      </w:r>
      <w:r>
        <w:t>strategic</w:t>
      </w:r>
      <w:r>
        <w:rPr>
          <w:spacing w:val="-9"/>
        </w:rPr>
        <w:t xml:space="preserve"> </w:t>
      </w:r>
      <w:r>
        <w:t>policy</w:t>
      </w:r>
      <w:r>
        <w:rPr>
          <w:spacing w:val="-8"/>
        </w:rPr>
        <w:t xml:space="preserve"> </w:t>
      </w:r>
      <w:r>
        <w:t>frameworks,</w:t>
      </w:r>
      <w:r>
        <w:rPr>
          <w:spacing w:val="-7"/>
        </w:rPr>
        <w:t xml:space="preserve"> </w:t>
      </w:r>
      <w:r>
        <w:t>Partnership</w:t>
      </w:r>
      <w:r>
        <w:rPr>
          <w:spacing w:val="-10"/>
        </w:rPr>
        <w:t xml:space="preserve"> </w:t>
      </w:r>
      <w:r>
        <w:t>Agreements</w:t>
      </w:r>
      <w:r>
        <w:rPr>
          <w:spacing w:val="-11"/>
        </w:rPr>
        <w:t xml:space="preserve"> </w:t>
      </w:r>
      <w:r>
        <w:t xml:space="preserve">and </w:t>
      </w:r>
      <w:proofErr w:type="spellStart"/>
      <w:r>
        <w:rPr>
          <w:spacing w:val="-2"/>
        </w:rPr>
        <w:t>programmes</w:t>
      </w:r>
      <w:proofErr w:type="spellEnd"/>
      <w:r>
        <w:rPr>
          <w:spacing w:val="-2"/>
        </w:rPr>
        <w:t>.</w:t>
      </w:r>
    </w:p>
    <w:p w14:paraId="5A0D9B26" w14:textId="77777777" w:rsidR="00161C10" w:rsidRDefault="00CE2C8C">
      <w:pPr>
        <w:pStyle w:val="ListParagraph"/>
        <w:numPr>
          <w:ilvl w:val="1"/>
          <w:numId w:val="1"/>
        </w:numPr>
        <w:tabs>
          <w:tab w:val="left" w:pos="1776"/>
        </w:tabs>
        <w:spacing w:line="268" w:lineRule="auto"/>
        <w:ind w:right="1058"/>
      </w:pPr>
      <w:r>
        <w:t>Setting up management, monitoring and control systems, including the working arrangements between them, the set-up of the monitoring committee and the adoption of manuals of procedures.</w:t>
      </w:r>
    </w:p>
    <w:p w14:paraId="5705F59E" w14:textId="77777777" w:rsidR="00161C10" w:rsidRDefault="00CE2C8C">
      <w:pPr>
        <w:pStyle w:val="ListParagraph"/>
        <w:numPr>
          <w:ilvl w:val="1"/>
          <w:numId w:val="1"/>
        </w:numPr>
        <w:tabs>
          <w:tab w:val="left" w:pos="1776"/>
        </w:tabs>
        <w:spacing w:before="11" w:line="256" w:lineRule="auto"/>
        <w:ind w:right="1060"/>
      </w:pPr>
      <w:r>
        <w:t xml:space="preserve">Implementing </w:t>
      </w:r>
      <w:proofErr w:type="spellStart"/>
      <w:r>
        <w:t>programmes</w:t>
      </w:r>
      <w:proofErr w:type="spellEnd"/>
      <w:proofErr w:type="gramStart"/>
      <w:r>
        <w:t>, in particular, when</w:t>
      </w:r>
      <w:proofErr w:type="gramEnd"/>
      <w:r>
        <w:t xml:space="preserve"> drawing up selection criteria and procedures, launching calls for proposals and selecting operations.</w:t>
      </w:r>
    </w:p>
    <w:p w14:paraId="1AAC8F0F" w14:textId="77777777" w:rsidR="00161C10" w:rsidRDefault="00CE2C8C">
      <w:pPr>
        <w:pStyle w:val="ListParagraph"/>
        <w:numPr>
          <w:ilvl w:val="0"/>
          <w:numId w:val="1"/>
        </w:numPr>
        <w:tabs>
          <w:tab w:val="left" w:pos="1056"/>
        </w:tabs>
        <w:spacing w:before="24" w:line="276" w:lineRule="auto"/>
        <w:ind w:right="1048"/>
      </w:pPr>
      <w:r>
        <w:t>Has the Member State developed appropriate tools to ensure compliance with the UNCRPD, anti-discrimination law for example a checklist or training modules for the persons and authorities involved? Have they identified responsible persons/</w:t>
      </w:r>
      <w:proofErr w:type="spellStart"/>
      <w:r>
        <w:t>organisation</w:t>
      </w:r>
      <w:proofErr w:type="spellEnd"/>
      <w:r>
        <w:t xml:space="preserve"> with adequate skills and competences?</w:t>
      </w:r>
    </w:p>
    <w:p w14:paraId="68F8F210" w14:textId="77777777" w:rsidR="00161C10" w:rsidRDefault="00161C10">
      <w:pPr>
        <w:pStyle w:val="BodyText"/>
        <w:spacing w:before="241"/>
        <w:rPr>
          <w:rFonts w:ascii="Calibri"/>
          <w:sz w:val="22"/>
        </w:rPr>
      </w:pPr>
    </w:p>
    <w:p w14:paraId="316B31D2" w14:textId="77777777" w:rsidR="00161C10" w:rsidRDefault="00CE2C8C">
      <w:pPr>
        <w:spacing w:line="276" w:lineRule="auto"/>
        <w:ind w:left="475" w:right="1046"/>
        <w:jc w:val="both"/>
        <w:rPr>
          <w:rFonts w:ascii="Calibri"/>
          <w:b/>
        </w:rPr>
      </w:pPr>
      <w:r>
        <w:rPr>
          <w:rFonts w:ascii="Calibri"/>
          <w:b/>
        </w:rPr>
        <w:t>2a. Reporting arrangements to the monitoring committee regarding cases of non-compliance of operations supported by the Funds with the UNCRPD and complaints regarding the UNCRPD submitted in accordance with the arrangements made pursuant to Article 63(</w:t>
      </w:r>
      <w:proofErr w:type="gramStart"/>
      <w:r>
        <w:rPr>
          <w:rFonts w:ascii="Calibri"/>
          <w:b/>
        </w:rPr>
        <w:t>6)CPR</w:t>
      </w:r>
      <w:proofErr w:type="gramEnd"/>
    </w:p>
    <w:p w14:paraId="78630F3D" w14:textId="77777777" w:rsidR="00161C10" w:rsidRDefault="00161C10">
      <w:pPr>
        <w:pStyle w:val="BodyText"/>
        <w:rPr>
          <w:rFonts w:ascii="Calibri"/>
          <w:b/>
          <w:sz w:val="20"/>
        </w:rPr>
      </w:pPr>
    </w:p>
    <w:p w14:paraId="0B4CA215" w14:textId="77777777" w:rsidR="00161C10" w:rsidRDefault="00161C10">
      <w:pPr>
        <w:pStyle w:val="BodyText"/>
        <w:rPr>
          <w:rFonts w:ascii="Calibri"/>
          <w:b/>
          <w:sz w:val="20"/>
        </w:rPr>
      </w:pPr>
    </w:p>
    <w:p w14:paraId="15F2AA1E" w14:textId="77777777" w:rsidR="00161C10" w:rsidRDefault="00CE2C8C">
      <w:pPr>
        <w:pStyle w:val="BodyText"/>
        <w:spacing w:before="147"/>
        <w:rPr>
          <w:rFonts w:ascii="Calibri"/>
          <w:b/>
          <w:sz w:val="20"/>
        </w:rPr>
      </w:pPr>
      <w:r>
        <w:rPr>
          <w:rFonts w:ascii="Calibri"/>
          <w:b/>
          <w:noProof/>
          <w:sz w:val="20"/>
        </w:rPr>
        <mc:AlternateContent>
          <mc:Choice Requires="wps">
            <w:drawing>
              <wp:anchor distT="0" distB="0" distL="0" distR="0" simplePos="0" relativeHeight="487609344" behindDoc="1" locked="0" layoutInCell="1" allowOverlap="1" wp14:anchorId="116BBCD2" wp14:editId="6D3770DE">
                <wp:simplePos x="0" y="0"/>
                <wp:positionH relativeFrom="page">
                  <wp:posOffset>898525</wp:posOffset>
                </wp:positionH>
                <wp:positionV relativeFrom="paragraph">
                  <wp:posOffset>263820</wp:posOffset>
                </wp:positionV>
                <wp:extent cx="1830070" cy="9525"/>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2AE944" id="Graphic 57" o:spid="_x0000_s1026" style="position:absolute;margin-left:70.75pt;margin-top:20.75pt;width:144.1pt;height:.75pt;z-index:-1570713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" path="m1829816,l,,,9524r1829816,l1829816,xe" fillcolor="black" stroked="f">
                <v:path arrowok="t"/>
                <w10:wrap type="topAndBottom" anchorx="page"/>
              </v:shape>
            </w:pict>
          </mc:Fallback>
        </mc:AlternateContent>
      </w:r>
    </w:p>
    <w:p w14:paraId="1974F401" w14:textId="77777777" w:rsidR="00161C10" w:rsidRDefault="00CE2C8C">
      <w:pPr>
        <w:spacing w:before="101"/>
        <w:ind w:left="334" w:right="557"/>
        <w:rPr>
          <w:rFonts w:ascii="Calibri"/>
          <w:sz w:val="20"/>
        </w:rPr>
      </w:pPr>
      <w:r>
        <w:rPr>
          <w:rFonts w:ascii="Calibri"/>
          <w:position w:val="6"/>
          <w:sz w:val="13"/>
        </w:rPr>
        <w:t>4</w:t>
      </w:r>
      <w:r>
        <w:rPr>
          <w:rFonts w:ascii="Calibri"/>
          <w:spacing w:val="36"/>
          <w:position w:val="6"/>
          <w:sz w:val="13"/>
        </w:rPr>
        <w:t xml:space="preserve"> </w:t>
      </w:r>
      <w:r>
        <w:rPr>
          <w:rFonts w:ascii="Calibri"/>
          <w:sz w:val="20"/>
        </w:rPr>
        <w:t>In</w:t>
      </w:r>
      <w:r>
        <w:rPr>
          <w:rFonts w:ascii="Calibri"/>
          <w:spacing w:val="30"/>
          <w:sz w:val="20"/>
        </w:rPr>
        <w:t xml:space="preserve"> </w:t>
      </w:r>
      <w:r>
        <w:rPr>
          <w:rFonts w:ascii="Calibri"/>
          <w:sz w:val="20"/>
        </w:rPr>
        <w:t>DG</w:t>
      </w:r>
      <w:r>
        <w:rPr>
          <w:rFonts w:ascii="Calibri"/>
          <w:spacing w:val="28"/>
          <w:sz w:val="20"/>
        </w:rPr>
        <w:t xml:space="preserve"> </w:t>
      </w:r>
      <w:r>
        <w:rPr>
          <w:rFonts w:ascii="Calibri"/>
          <w:sz w:val="20"/>
        </w:rPr>
        <w:t>GROW,</w:t>
      </w:r>
      <w:r>
        <w:rPr>
          <w:rFonts w:ascii="Calibri"/>
          <w:spacing w:val="30"/>
          <w:sz w:val="20"/>
        </w:rPr>
        <w:t xml:space="preserve"> </w:t>
      </w:r>
      <w:r>
        <w:rPr>
          <w:rFonts w:ascii="Calibri"/>
          <w:sz w:val="20"/>
        </w:rPr>
        <w:t>the</w:t>
      </w:r>
      <w:r>
        <w:rPr>
          <w:rFonts w:ascii="Calibri"/>
          <w:spacing w:val="29"/>
          <w:sz w:val="20"/>
        </w:rPr>
        <w:t xml:space="preserve"> </w:t>
      </w:r>
      <w:r>
        <w:rPr>
          <w:rFonts w:ascii="Calibri"/>
          <w:sz w:val="20"/>
        </w:rPr>
        <w:t>unit</w:t>
      </w:r>
      <w:r>
        <w:rPr>
          <w:rFonts w:ascii="Calibri"/>
          <w:spacing w:val="30"/>
          <w:sz w:val="20"/>
        </w:rPr>
        <w:t xml:space="preserve"> </w:t>
      </w:r>
      <w:r>
        <w:rPr>
          <w:rFonts w:ascii="Calibri"/>
          <w:sz w:val="20"/>
        </w:rPr>
        <w:t>responsible</w:t>
      </w:r>
      <w:r>
        <w:rPr>
          <w:rFonts w:ascii="Calibri"/>
          <w:spacing w:val="29"/>
          <w:sz w:val="20"/>
        </w:rPr>
        <w:t xml:space="preserve"> </w:t>
      </w:r>
      <w:r>
        <w:rPr>
          <w:rFonts w:ascii="Calibri"/>
          <w:sz w:val="20"/>
        </w:rPr>
        <w:t>for</w:t>
      </w:r>
      <w:r>
        <w:rPr>
          <w:rFonts w:ascii="Calibri"/>
          <w:spacing w:val="29"/>
          <w:sz w:val="20"/>
        </w:rPr>
        <w:t xml:space="preserve"> </w:t>
      </w:r>
      <w:r>
        <w:rPr>
          <w:rFonts w:ascii="Calibri"/>
          <w:sz w:val="20"/>
        </w:rPr>
        <w:t>these</w:t>
      </w:r>
      <w:r>
        <w:rPr>
          <w:rFonts w:ascii="Calibri"/>
          <w:spacing w:val="29"/>
          <w:sz w:val="20"/>
        </w:rPr>
        <w:t xml:space="preserve"> </w:t>
      </w:r>
      <w:r>
        <w:rPr>
          <w:rFonts w:ascii="Calibri"/>
          <w:sz w:val="20"/>
        </w:rPr>
        <w:t>reports</w:t>
      </w:r>
      <w:r>
        <w:rPr>
          <w:rFonts w:ascii="Calibri"/>
          <w:spacing w:val="34"/>
          <w:sz w:val="20"/>
        </w:rPr>
        <w:t xml:space="preserve"> </w:t>
      </w:r>
      <w:r>
        <w:rPr>
          <w:rFonts w:ascii="Calibri"/>
          <w:sz w:val="20"/>
        </w:rPr>
        <w:t>is</w:t>
      </w:r>
      <w:r>
        <w:rPr>
          <w:rFonts w:ascii="Calibri"/>
          <w:spacing w:val="33"/>
          <w:sz w:val="20"/>
        </w:rPr>
        <w:t xml:space="preserve"> </w:t>
      </w:r>
      <w:r>
        <w:rPr>
          <w:rFonts w:ascii="Calibri"/>
          <w:sz w:val="20"/>
        </w:rPr>
        <w:t>the</w:t>
      </w:r>
      <w:r>
        <w:rPr>
          <w:rFonts w:ascii="Calibri"/>
          <w:spacing w:val="26"/>
          <w:sz w:val="20"/>
        </w:rPr>
        <w:t xml:space="preserve"> </w:t>
      </w:r>
      <w:r>
        <w:rPr>
          <w:rFonts w:ascii="Calibri"/>
          <w:sz w:val="20"/>
        </w:rPr>
        <w:t>unit</w:t>
      </w:r>
      <w:r>
        <w:rPr>
          <w:rFonts w:ascii="Calibri"/>
          <w:spacing w:val="27"/>
          <w:sz w:val="20"/>
        </w:rPr>
        <w:t xml:space="preserve"> </w:t>
      </w:r>
      <w:r>
        <w:rPr>
          <w:rFonts w:ascii="Calibri"/>
          <w:sz w:val="20"/>
        </w:rPr>
        <w:t>for</w:t>
      </w:r>
      <w:r>
        <w:rPr>
          <w:rFonts w:ascii="Calibri"/>
          <w:spacing w:val="29"/>
          <w:sz w:val="20"/>
        </w:rPr>
        <w:t xml:space="preserve"> </w:t>
      </w:r>
      <w:proofErr w:type="spellStart"/>
      <w:r>
        <w:rPr>
          <w:rFonts w:ascii="Calibri"/>
          <w:sz w:val="20"/>
        </w:rPr>
        <w:t>standardisation</w:t>
      </w:r>
      <w:proofErr w:type="spellEnd"/>
      <w:r>
        <w:rPr>
          <w:rFonts w:ascii="Calibri"/>
          <w:sz w:val="20"/>
        </w:rPr>
        <w:t>.</w:t>
      </w:r>
      <w:r>
        <w:rPr>
          <w:rFonts w:ascii="Calibri"/>
          <w:spacing w:val="29"/>
          <w:sz w:val="20"/>
        </w:rPr>
        <w:t xml:space="preserve"> </w:t>
      </w:r>
      <w:r>
        <w:rPr>
          <w:rFonts w:ascii="Calibri"/>
          <w:sz w:val="20"/>
        </w:rPr>
        <w:t>They</w:t>
      </w:r>
      <w:r>
        <w:rPr>
          <w:rFonts w:ascii="Calibri"/>
          <w:spacing w:val="30"/>
          <w:sz w:val="20"/>
        </w:rPr>
        <w:t xml:space="preserve"> </w:t>
      </w:r>
      <w:r>
        <w:rPr>
          <w:rFonts w:ascii="Calibri"/>
          <w:sz w:val="20"/>
        </w:rPr>
        <w:t>can</w:t>
      </w:r>
      <w:r>
        <w:rPr>
          <w:rFonts w:ascii="Calibri"/>
          <w:spacing w:val="30"/>
          <w:sz w:val="20"/>
        </w:rPr>
        <w:t xml:space="preserve"> </w:t>
      </w:r>
      <w:r>
        <w:rPr>
          <w:rFonts w:ascii="Calibri"/>
          <w:sz w:val="20"/>
        </w:rPr>
        <w:t>provide</w:t>
      </w:r>
      <w:r>
        <w:rPr>
          <w:rFonts w:ascii="Calibri"/>
          <w:spacing w:val="30"/>
          <w:sz w:val="20"/>
        </w:rPr>
        <w:t xml:space="preserve"> </w:t>
      </w:r>
      <w:r>
        <w:rPr>
          <w:rFonts w:ascii="Calibri"/>
          <w:sz w:val="20"/>
        </w:rPr>
        <w:t xml:space="preserve">all standards free of charge. </w:t>
      </w:r>
      <w:hyperlink r:id="rId128">
        <w:r>
          <w:rPr>
            <w:rFonts w:ascii="Calibri"/>
            <w:color w:val="0000FF"/>
            <w:sz w:val="20"/>
            <w:u w:val="single" w:color="0000FF"/>
          </w:rPr>
          <w:t>GROW-ESO@ec.europa.eu</w:t>
        </w:r>
        <w:r>
          <w:rPr>
            <w:rFonts w:ascii="Calibri"/>
            <w:sz w:val="20"/>
          </w:rPr>
          <w:t>.</w:t>
        </w:r>
      </w:hyperlink>
    </w:p>
    <w:p w14:paraId="36C17932" w14:textId="77777777" w:rsidR="00161C10" w:rsidRDefault="00CE2C8C">
      <w:pPr>
        <w:spacing w:before="199"/>
        <w:ind w:left="334" w:right="557"/>
        <w:rPr>
          <w:rFonts w:ascii="Calibri"/>
          <w:sz w:val="20"/>
        </w:rPr>
      </w:pPr>
      <w:r>
        <w:rPr>
          <w:rFonts w:ascii="Calibri"/>
          <w:position w:val="6"/>
          <w:sz w:val="13"/>
        </w:rPr>
        <w:t>5</w:t>
      </w:r>
      <w:r>
        <w:rPr>
          <w:rFonts w:ascii="Calibri"/>
          <w:spacing w:val="35"/>
          <w:position w:val="6"/>
          <w:sz w:val="13"/>
        </w:rPr>
        <w:t xml:space="preserve"> </w:t>
      </w:r>
      <w:hyperlink r:id="rId129">
        <w:r>
          <w:rPr>
            <w:rFonts w:ascii="Calibri"/>
            <w:color w:val="0000FF"/>
            <w:sz w:val="20"/>
            <w:u w:val="single" w:color="0000FF"/>
          </w:rPr>
          <w:t>https://www.cencenelec.eu/aboutus/Pages/default.aspx</w:t>
        </w:r>
        <w:r>
          <w:rPr>
            <w:rFonts w:ascii="Calibri"/>
            <w:sz w:val="20"/>
          </w:rPr>
          <w:t>.</w:t>
        </w:r>
      </w:hyperlink>
      <w:r>
        <w:rPr>
          <w:rFonts w:ascii="Calibri"/>
          <w:spacing w:val="30"/>
          <w:sz w:val="20"/>
        </w:rPr>
        <w:t xml:space="preserve"> </w:t>
      </w:r>
      <w:r>
        <w:rPr>
          <w:rFonts w:ascii="Calibri"/>
          <w:sz w:val="20"/>
        </w:rPr>
        <w:t>These</w:t>
      </w:r>
      <w:r>
        <w:rPr>
          <w:rFonts w:ascii="Calibri"/>
          <w:spacing w:val="32"/>
          <w:sz w:val="20"/>
        </w:rPr>
        <w:t xml:space="preserve"> </w:t>
      </w:r>
      <w:r>
        <w:rPr>
          <w:rFonts w:ascii="Calibri"/>
          <w:sz w:val="20"/>
        </w:rPr>
        <w:t>are</w:t>
      </w:r>
      <w:r>
        <w:rPr>
          <w:rFonts w:ascii="Calibri"/>
          <w:spacing w:val="35"/>
          <w:sz w:val="20"/>
        </w:rPr>
        <w:t xml:space="preserve"> </w:t>
      </w:r>
      <w:r>
        <w:rPr>
          <w:rFonts w:ascii="Calibri"/>
          <w:sz w:val="20"/>
        </w:rPr>
        <w:t>not</w:t>
      </w:r>
      <w:r>
        <w:rPr>
          <w:rFonts w:ascii="Calibri"/>
          <w:spacing w:val="31"/>
          <w:sz w:val="20"/>
        </w:rPr>
        <w:t xml:space="preserve"> </w:t>
      </w:r>
      <w:r>
        <w:rPr>
          <w:rFonts w:ascii="Calibri"/>
          <w:sz w:val="20"/>
        </w:rPr>
        <w:t>publicly</w:t>
      </w:r>
      <w:r>
        <w:rPr>
          <w:rFonts w:ascii="Calibri"/>
          <w:spacing w:val="40"/>
          <w:sz w:val="20"/>
        </w:rPr>
        <w:t xml:space="preserve"> </w:t>
      </w:r>
      <w:r>
        <w:rPr>
          <w:rFonts w:ascii="Calibri"/>
          <w:sz w:val="20"/>
        </w:rPr>
        <w:t>available</w:t>
      </w:r>
      <w:r>
        <w:rPr>
          <w:rFonts w:ascii="Calibri"/>
          <w:spacing w:val="37"/>
          <w:sz w:val="20"/>
        </w:rPr>
        <w:t xml:space="preserve"> </w:t>
      </w:r>
      <w:r>
        <w:rPr>
          <w:rFonts w:ascii="Calibri"/>
          <w:sz w:val="20"/>
        </w:rPr>
        <w:t>and</w:t>
      </w:r>
      <w:r>
        <w:rPr>
          <w:rFonts w:ascii="Calibri"/>
          <w:spacing w:val="34"/>
          <w:sz w:val="20"/>
        </w:rPr>
        <w:t xml:space="preserve"> </w:t>
      </w:r>
      <w:r>
        <w:rPr>
          <w:rFonts w:ascii="Calibri"/>
          <w:sz w:val="20"/>
        </w:rPr>
        <w:t>need</w:t>
      </w:r>
      <w:r>
        <w:rPr>
          <w:rFonts w:ascii="Calibri"/>
          <w:spacing w:val="34"/>
          <w:sz w:val="20"/>
        </w:rPr>
        <w:t xml:space="preserve"> </w:t>
      </w:r>
      <w:r>
        <w:rPr>
          <w:rFonts w:ascii="Calibri"/>
          <w:sz w:val="20"/>
        </w:rPr>
        <w:t>to</w:t>
      </w:r>
      <w:r>
        <w:rPr>
          <w:rFonts w:ascii="Calibri"/>
          <w:spacing w:val="34"/>
          <w:sz w:val="20"/>
        </w:rPr>
        <w:t xml:space="preserve"> </w:t>
      </w:r>
      <w:r>
        <w:rPr>
          <w:rFonts w:ascii="Calibri"/>
          <w:sz w:val="20"/>
        </w:rPr>
        <w:t xml:space="preserve">be </w:t>
      </w:r>
      <w:r>
        <w:rPr>
          <w:rFonts w:ascii="Calibri"/>
          <w:spacing w:val="-2"/>
          <w:sz w:val="20"/>
        </w:rPr>
        <w:t>bought.</w:t>
      </w:r>
    </w:p>
    <w:p w14:paraId="37533ACC" w14:textId="77777777" w:rsidR="00161C10" w:rsidRDefault="00161C10">
      <w:pPr>
        <w:rPr>
          <w:rFonts w:ascii="Calibri"/>
          <w:sz w:val="20"/>
        </w:rPr>
        <w:sectPr w:rsidR="00161C10">
          <w:footerReference w:type="default" r:id="rId130"/>
          <w:pgSz w:w="11920" w:h="16850"/>
          <w:pgMar w:top="1380" w:right="360" w:bottom="280" w:left="1080" w:header="0" w:footer="0" w:gutter="0"/>
          <w:cols w:space="720"/>
        </w:sectPr>
      </w:pPr>
    </w:p>
    <w:p w14:paraId="0F037077" w14:textId="77777777" w:rsidR="00161C10" w:rsidRDefault="00CE2C8C">
      <w:pPr>
        <w:spacing w:before="35" w:line="276" w:lineRule="auto"/>
        <w:ind w:left="475" w:right="1045"/>
        <w:jc w:val="both"/>
        <w:rPr>
          <w:rFonts w:ascii="Calibri" w:hAnsi="Calibri"/>
        </w:rPr>
      </w:pPr>
      <w:r>
        <w:rPr>
          <w:rFonts w:ascii="Calibri" w:hAnsi="Calibri"/>
        </w:rPr>
        <w:lastRenderedPageBreak/>
        <w:t>This</w:t>
      </w:r>
      <w:r>
        <w:rPr>
          <w:rFonts w:ascii="Calibri" w:hAnsi="Calibri"/>
          <w:spacing w:val="-13"/>
        </w:rPr>
        <w:t xml:space="preserve"> </w:t>
      </w:r>
      <w:r>
        <w:rPr>
          <w:rFonts w:ascii="Calibri" w:hAnsi="Calibri"/>
        </w:rPr>
        <w:t>criterion</w:t>
      </w:r>
      <w:r>
        <w:rPr>
          <w:rFonts w:ascii="Calibri" w:hAnsi="Calibri"/>
          <w:spacing w:val="-12"/>
        </w:rPr>
        <w:t xml:space="preserve"> </w:t>
      </w:r>
      <w:r>
        <w:rPr>
          <w:rFonts w:ascii="Calibri" w:hAnsi="Calibri"/>
        </w:rPr>
        <w:t>has</w:t>
      </w:r>
      <w:r>
        <w:rPr>
          <w:rFonts w:ascii="Calibri" w:hAnsi="Calibri"/>
          <w:spacing w:val="-12"/>
        </w:rPr>
        <w:t xml:space="preserve"> </w:t>
      </w:r>
      <w:r>
        <w:rPr>
          <w:rFonts w:ascii="Calibri" w:hAnsi="Calibri"/>
        </w:rPr>
        <w:t>been</w:t>
      </w:r>
      <w:r>
        <w:rPr>
          <w:rFonts w:ascii="Calibri" w:hAnsi="Calibri"/>
          <w:spacing w:val="-10"/>
        </w:rPr>
        <w:t xml:space="preserve"> </w:t>
      </w:r>
      <w:r>
        <w:rPr>
          <w:rFonts w:ascii="Calibri" w:hAnsi="Calibri"/>
        </w:rPr>
        <w:t>added</w:t>
      </w:r>
      <w:r>
        <w:rPr>
          <w:rFonts w:ascii="Calibri" w:hAnsi="Calibri"/>
          <w:spacing w:val="-11"/>
        </w:rPr>
        <w:t xml:space="preserve"> </w:t>
      </w:r>
      <w:r>
        <w:rPr>
          <w:rFonts w:ascii="Calibri" w:hAnsi="Calibri"/>
        </w:rPr>
        <w:t>by</w:t>
      </w:r>
      <w:r>
        <w:rPr>
          <w:rFonts w:ascii="Calibri" w:hAnsi="Calibri"/>
          <w:spacing w:val="-12"/>
        </w:rPr>
        <w:t xml:space="preserve"> </w:t>
      </w:r>
      <w:r>
        <w:rPr>
          <w:rFonts w:ascii="Calibri" w:hAnsi="Calibri"/>
        </w:rPr>
        <w:t>the</w:t>
      </w:r>
      <w:r>
        <w:rPr>
          <w:rFonts w:ascii="Calibri" w:hAnsi="Calibri"/>
          <w:spacing w:val="-13"/>
        </w:rPr>
        <w:t xml:space="preserve"> </w:t>
      </w:r>
      <w:r>
        <w:rPr>
          <w:rFonts w:ascii="Calibri" w:hAnsi="Calibri"/>
        </w:rPr>
        <w:t>co-legislators</w:t>
      </w:r>
      <w:r>
        <w:rPr>
          <w:rFonts w:ascii="Calibri" w:hAnsi="Calibri"/>
          <w:spacing w:val="-10"/>
        </w:rPr>
        <w:t xml:space="preserve"> </w:t>
      </w:r>
      <w:r>
        <w:rPr>
          <w:rFonts w:ascii="Calibri" w:hAnsi="Calibri"/>
        </w:rPr>
        <w:t>and</w:t>
      </w:r>
      <w:r>
        <w:rPr>
          <w:rFonts w:ascii="Calibri" w:hAnsi="Calibri"/>
          <w:spacing w:val="-13"/>
        </w:rPr>
        <w:t xml:space="preserve"> </w:t>
      </w:r>
      <w:r>
        <w:rPr>
          <w:rFonts w:ascii="Calibri" w:hAnsi="Calibri"/>
        </w:rPr>
        <w:t>is</w:t>
      </w:r>
      <w:r>
        <w:rPr>
          <w:rFonts w:ascii="Calibri" w:hAnsi="Calibri"/>
          <w:spacing w:val="-10"/>
        </w:rPr>
        <w:t xml:space="preserve"> </w:t>
      </w:r>
      <w:r>
        <w:rPr>
          <w:rFonts w:ascii="Calibri" w:hAnsi="Calibri"/>
        </w:rPr>
        <w:t>aligned</w:t>
      </w:r>
      <w:r>
        <w:rPr>
          <w:rFonts w:ascii="Calibri" w:hAnsi="Calibri"/>
          <w:spacing w:val="-13"/>
        </w:rPr>
        <w:t xml:space="preserve"> </w:t>
      </w:r>
      <w:r>
        <w:rPr>
          <w:rFonts w:ascii="Calibri" w:hAnsi="Calibri"/>
        </w:rPr>
        <w:t>to</w:t>
      </w:r>
      <w:r>
        <w:rPr>
          <w:rFonts w:ascii="Calibri" w:hAnsi="Calibri"/>
          <w:spacing w:val="-12"/>
        </w:rPr>
        <w:t xml:space="preserve"> </w:t>
      </w:r>
      <w:r>
        <w:rPr>
          <w:rFonts w:ascii="Calibri" w:hAnsi="Calibri"/>
        </w:rPr>
        <w:t>the</w:t>
      </w:r>
      <w:r>
        <w:rPr>
          <w:rFonts w:ascii="Calibri" w:hAnsi="Calibri"/>
          <w:spacing w:val="-13"/>
        </w:rPr>
        <w:t xml:space="preserve"> </w:t>
      </w:r>
      <w:r>
        <w:rPr>
          <w:rFonts w:ascii="Calibri" w:hAnsi="Calibri"/>
        </w:rPr>
        <w:t>criterion</w:t>
      </w:r>
      <w:r>
        <w:rPr>
          <w:rFonts w:ascii="Calibri" w:hAnsi="Calibri"/>
          <w:spacing w:val="-11"/>
        </w:rPr>
        <w:t xml:space="preserve"> </w:t>
      </w:r>
      <w:r>
        <w:rPr>
          <w:rFonts w:ascii="Calibri" w:hAnsi="Calibri"/>
        </w:rPr>
        <w:t>under</w:t>
      </w:r>
      <w:r>
        <w:rPr>
          <w:rFonts w:ascii="Calibri" w:hAnsi="Calibri"/>
          <w:spacing w:val="-10"/>
        </w:rPr>
        <w:t xml:space="preserve"> </w:t>
      </w:r>
      <w:r>
        <w:rPr>
          <w:rFonts w:ascii="Calibri" w:hAnsi="Calibri"/>
        </w:rPr>
        <w:t>the</w:t>
      </w:r>
      <w:r>
        <w:rPr>
          <w:rFonts w:ascii="Calibri" w:hAnsi="Calibri"/>
          <w:spacing w:val="-13"/>
        </w:rPr>
        <w:t xml:space="preserve"> </w:t>
      </w:r>
      <w:r>
        <w:rPr>
          <w:rFonts w:ascii="Calibri" w:hAnsi="Calibri"/>
        </w:rPr>
        <w:t>EU</w:t>
      </w:r>
      <w:r>
        <w:rPr>
          <w:rFonts w:ascii="Calibri" w:hAnsi="Calibri"/>
          <w:spacing w:val="-11"/>
        </w:rPr>
        <w:t xml:space="preserve"> </w:t>
      </w:r>
      <w:r>
        <w:rPr>
          <w:rFonts w:ascii="Calibri" w:hAnsi="Calibri"/>
        </w:rPr>
        <w:t xml:space="preserve">Charter horizontal enabling condition. This criterion is </w:t>
      </w:r>
      <w:proofErr w:type="spellStart"/>
      <w:r>
        <w:rPr>
          <w:rFonts w:ascii="Calibri" w:hAnsi="Calibri"/>
        </w:rPr>
        <w:t>programme</w:t>
      </w:r>
      <w:proofErr w:type="spellEnd"/>
      <w:r>
        <w:rPr>
          <w:rFonts w:ascii="Calibri" w:hAnsi="Calibri"/>
        </w:rPr>
        <w:t xml:space="preserve">-specific, but Member States may decide to have one document covering the specificities of all the CPR Funds </w:t>
      </w:r>
      <w:proofErr w:type="spellStart"/>
      <w:r>
        <w:rPr>
          <w:rFonts w:ascii="Calibri" w:hAnsi="Calibri"/>
        </w:rPr>
        <w:t>programmes</w:t>
      </w:r>
      <w:proofErr w:type="spellEnd"/>
      <w:r>
        <w:rPr>
          <w:rFonts w:ascii="Calibri" w:hAnsi="Calibri"/>
        </w:rPr>
        <w:t>. Under this enabling condition, MS should explain how, at which frequency, etc. they will report on both cases of non-compliance of operations supported by the Funds with the UN Convention and accessibility and</w:t>
      </w:r>
      <w:r>
        <w:rPr>
          <w:rFonts w:ascii="Calibri" w:hAnsi="Calibri"/>
          <w:spacing w:val="-6"/>
        </w:rPr>
        <w:t xml:space="preserve"> </w:t>
      </w:r>
      <w:r>
        <w:rPr>
          <w:rFonts w:ascii="Calibri" w:hAnsi="Calibri"/>
        </w:rPr>
        <w:t>address</w:t>
      </w:r>
      <w:r>
        <w:rPr>
          <w:rFonts w:ascii="Calibri" w:hAnsi="Calibri"/>
          <w:spacing w:val="-5"/>
        </w:rPr>
        <w:t xml:space="preserve"> </w:t>
      </w:r>
      <w:r>
        <w:rPr>
          <w:rFonts w:ascii="Calibri" w:hAnsi="Calibri"/>
        </w:rPr>
        <w:t>complaints.</w:t>
      </w:r>
      <w:r>
        <w:rPr>
          <w:rFonts w:ascii="Calibri" w:hAnsi="Calibri"/>
          <w:spacing w:val="-5"/>
        </w:rPr>
        <w:t xml:space="preserve"> </w:t>
      </w:r>
      <w:r>
        <w:rPr>
          <w:rFonts w:ascii="Calibri" w:hAnsi="Calibri"/>
        </w:rPr>
        <w:t>Concluding</w:t>
      </w:r>
      <w:r>
        <w:rPr>
          <w:rFonts w:ascii="Calibri" w:hAnsi="Calibri"/>
          <w:spacing w:val="-6"/>
        </w:rPr>
        <w:t xml:space="preserve"> </w:t>
      </w:r>
      <w:r>
        <w:rPr>
          <w:rFonts w:ascii="Calibri" w:hAnsi="Calibri"/>
        </w:rPr>
        <w:t>observations</w:t>
      </w:r>
      <w:r>
        <w:rPr>
          <w:rFonts w:ascii="Calibri" w:hAnsi="Calibri"/>
          <w:spacing w:val="-5"/>
        </w:rPr>
        <w:t xml:space="preserve"> </w:t>
      </w:r>
      <w:r>
        <w:rPr>
          <w:rFonts w:ascii="Calibri" w:hAnsi="Calibri"/>
        </w:rPr>
        <w:t>of</w:t>
      </w:r>
      <w:r>
        <w:rPr>
          <w:rFonts w:ascii="Calibri" w:hAnsi="Calibri"/>
          <w:spacing w:val="-6"/>
        </w:rPr>
        <w:t xml:space="preserve"> </w:t>
      </w:r>
      <w:r>
        <w:rPr>
          <w:rFonts w:ascii="Calibri" w:hAnsi="Calibri"/>
        </w:rPr>
        <w:t>the</w:t>
      </w:r>
      <w:r>
        <w:rPr>
          <w:rFonts w:ascii="Calibri" w:hAnsi="Calibri"/>
          <w:spacing w:val="-3"/>
        </w:rPr>
        <w:t xml:space="preserve"> </w:t>
      </w:r>
      <w:r>
        <w:rPr>
          <w:rFonts w:ascii="Calibri" w:hAnsi="Calibri"/>
        </w:rPr>
        <w:t>UN</w:t>
      </w:r>
      <w:r>
        <w:rPr>
          <w:rFonts w:ascii="Calibri" w:hAnsi="Calibri"/>
          <w:spacing w:val="-7"/>
        </w:rPr>
        <w:t xml:space="preserve"> </w:t>
      </w:r>
      <w:r>
        <w:rPr>
          <w:rFonts w:ascii="Calibri" w:hAnsi="Calibri"/>
        </w:rPr>
        <w:t>Committee</w:t>
      </w:r>
      <w:r>
        <w:rPr>
          <w:rFonts w:ascii="Calibri" w:hAnsi="Calibri"/>
          <w:spacing w:val="-3"/>
        </w:rPr>
        <w:t xml:space="preserve"> </w:t>
      </w:r>
      <w:r>
        <w:rPr>
          <w:rFonts w:ascii="Calibri" w:hAnsi="Calibri"/>
        </w:rPr>
        <w:t>on</w:t>
      </w:r>
      <w:r>
        <w:rPr>
          <w:rFonts w:ascii="Calibri" w:hAnsi="Calibri"/>
          <w:spacing w:val="-9"/>
        </w:rPr>
        <w:t xml:space="preserve"> </w:t>
      </w:r>
      <w:r>
        <w:rPr>
          <w:rFonts w:ascii="Calibri" w:hAnsi="Calibri"/>
        </w:rPr>
        <w:t>the</w:t>
      </w:r>
      <w:r>
        <w:rPr>
          <w:rFonts w:ascii="Calibri" w:hAnsi="Calibri"/>
          <w:spacing w:val="-6"/>
        </w:rPr>
        <w:t xml:space="preserve"> </w:t>
      </w:r>
      <w:r>
        <w:rPr>
          <w:rFonts w:ascii="Calibri" w:hAnsi="Calibri"/>
        </w:rPr>
        <w:t>rights</w:t>
      </w:r>
      <w:r>
        <w:rPr>
          <w:rFonts w:ascii="Calibri" w:hAnsi="Calibri"/>
          <w:spacing w:val="-5"/>
        </w:rPr>
        <w:t xml:space="preserve"> </w:t>
      </w:r>
      <w:r>
        <w:rPr>
          <w:rFonts w:ascii="Calibri" w:hAnsi="Calibri"/>
        </w:rPr>
        <w:t>of</w:t>
      </w:r>
      <w:r>
        <w:rPr>
          <w:rFonts w:ascii="Calibri" w:hAnsi="Calibri"/>
          <w:spacing w:val="-6"/>
        </w:rPr>
        <w:t xml:space="preserve"> </w:t>
      </w:r>
      <w:r>
        <w:rPr>
          <w:rFonts w:ascii="Calibri" w:hAnsi="Calibri"/>
        </w:rPr>
        <w:t>persons</w:t>
      </w:r>
      <w:r>
        <w:rPr>
          <w:rFonts w:ascii="Calibri" w:hAnsi="Calibri"/>
          <w:spacing w:val="-8"/>
        </w:rPr>
        <w:t xml:space="preserve"> </w:t>
      </w:r>
      <w:r>
        <w:rPr>
          <w:rFonts w:ascii="Calibri" w:hAnsi="Calibri"/>
        </w:rPr>
        <w:t xml:space="preserve">with disabilities should be </w:t>
      </w:r>
      <w:proofErr w:type="gramStart"/>
      <w:r>
        <w:rPr>
          <w:rFonts w:ascii="Calibri" w:hAnsi="Calibri"/>
        </w:rPr>
        <w:t>taken into account</w:t>
      </w:r>
      <w:proofErr w:type="gramEnd"/>
      <w:r>
        <w:rPr>
          <w:rFonts w:ascii="Calibri" w:hAnsi="Calibri"/>
        </w:rPr>
        <w:t>. Cases of non-compliance are issued by a body that is – in accordance</w:t>
      </w:r>
      <w:r>
        <w:rPr>
          <w:rFonts w:ascii="Calibri" w:hAnsi="Calibri"/>
          <w:spacing w:val="-6"/>
        </w:rPr>
        <w:t xml:space="preserve"> </w:t>
      </w:r>
      <w:r>
        <w:rPr>
          <w:rFonts w:ascii="Calibri" w:hAnsi="Calibri"/>
        </w:rPr>
        <w:t>with</w:t>
      </w:r>
      <w:r>
        <w:rPr>
          <w:rFonts w:ascii="Calibri" w:hAnsi="Calibri"/>
          <w:spacing w:val="-9"/>
        </w:rPr>
        <w:t xml:space="preserve"> </w:t>
      </w:r>
      <w:r>
        <w:rPr>
          <w:rFonts w:ascii="Calibri" w:hAnsi="Calibri"/>
        </w:rPr>
        <w:t>the</w:t>
      </w:r>
      <w:r>
        <w:rPr>
          <w:rFonts w:ascii="Calibri" w:hAnsi="Calibri"/>
          <w:spacing w:val="-6"/>
        </w:rPr>
        <w:t xml:space="preserve"> </w:t>
      </w:r>
      <w:r>
        <w:rPr>
          <w:rFonts w:ascii="Calibri" w:hAnsi="Calibri"/>
        </w:rPr>
        <w:t>institutional</w:t>
      </w:r>
      <w:r>
        <w:rPr>
          <w:rFonts w:ascii="Calibri" w:hAnsi="Calibri"/>
          <w:spacing w:val="-6"/>
        </w:rPr>
        <w:t xml:space="preserve"> </w:t>
      </w:r>
      <w:r>
        <w:rPr>
          <w:rFonts w:ascii="Calibri" w:hAnsi="Calibri"/>
        </w:rPr>
        <w:t>and</w:t>
      </w:r>
      <w:r>
        <w:rPr>
          <w:rFonts w:ascii="Calibri" w:hAnsi="Calibri"/>
          <w:spacing w:val="-7"/>
        </w:rPr>
        <w:t xml:space="preserve"> </w:t>
      </w:r>
      <w:r>
        <w:rPr>
          <w:rFonts w:ascii="Calibri" w:hAnsi="Calibri"/>
        </w:rPr>
        <w:t>legal</w:t>
      </w:r>
      <w:r>
        <w:rPr>
          <w:rFonts w:ascii="Calibri" w:hAnsi="Calibri"/>
          <w:spacing w:val="-7"/>
        </w:rPr>
        <w:t xml:space="preserve"> </w:t>
      </w:r>
      <w:r>
        <w:rPr>
          <w:rFonts w:ascii="Calibri" w:hAnsi="Calibri"/>
        </w:rPr>
        <w:t>framework</w:t>
      </w:r>
      <w:r>
        <w:rPr>
          <w:rFonts w:ascii="Calibri" w:hAnsi="Calibri"/>
          <w:spacing w:val="-8"/>
        </w:rPr>
        <w:t xml:space="preserve"> </w:t>
      </w:r>
      <w:r>
        <w:rPr>
          <w:rFonts w:ascii="Calibri" w:hAnsi="Calibri"/>
        </w:rPr>
        <w:t>of</w:t>
      </w:r>
      <w:r>
        <w:rPr>
          <w:rFonts w:ascii="Calibri" w:hAnsi="Calibri"/>
          <w:spacing w:val="-4"/>
        </w:rPr>
        <w:t xml:space="preserve"> </w:t>
      </w:r>
      <w:r>
        <w:rPr>
          <w:rFonts w:ascii="Calibri" w:hAnsi="Calibri"/>
        </w:rPr>
        <w:t>the</w:t>
      </w:r>
      <w:r>
        <w:rPr>
          <w:rFonts w:ascii="Calibri" w:hAnsi="Calibri"/>
          <w:spacing w:val="-6"/>
        </w:rPr>
        <w:t xml:space="preserve"> </w:t>
      </w:r>
      <w:r>
        <w:rPr>
          <w:rFonts w:ascii="Calibri" w:hAnsi="Calibri"/>
        </w:rPr>
        <w:t>Member</w:t>
      </w:r>
      <w:r>
        <w:rPr>
          <w:rFonts w:ascii="Calibri" w:hAnsi="Calibri"/>
          <w:spacing w:val="-6"/>
        </w:rPr>
        <w:t xml:space="preserve"> </w:t>
      </w:r>
      <w:r>
        <w:rPr>
          <w:rFonts w:ascii="Calibri" w:hAnsi="Calibri"/>
        </w:rPr>
        <w:t>States</w:t>
      </w:r>
      <w:r>
        <w:rPr>
          <w:rFonts w:ascii="Calibri" w:hAnsi="Calibri"/>
          <w:spacing w:val="-6"/>
        </w:rPr>
        <w:t xml:space="preserve"> </w:t>
      </w:r>
      <w:r>
        <w:rPr>
          <w:rFonts w:ascii="Calibri" w:hAnsi="Calibri"/>
        </w:rPr>
        <w:t>-</w:t>
      </w:r>
      <w:r>
        <w:rPr>
          <w:rFonts w:ascii="Calibri" w:hAnsi="Calibri"/>
          <w:spacing w:val="-5"/>
        </w:rPr>
        <w:t xml:space="preserve"> </w:t>
      </w:r>
      <w:r>
        <w:rPr>
          <w:rFonts w:ascii="Calibri" w:hAnsi="Calibri"/>
        </w:rPr>
        <w:t>competent</w:t>
      </w:r>
      <w:r>
        <w:rPr>
          <w:rFonts w:ascii="Calibri" w:hAnsi="Calibri"/>
          <w:spacing w:val="-6"/>
        </w:rPr>
        <w:t xml:space="preserve"> </w:t>
      </w:r>
      <w:r>
        <w:rPr>
          <w:rFonts w:ascii="Calibri" w:hAnsi="Calibri"/>
        </w:rPr>
        <w:t>for</w:t>
      </w:r>
      <w:r>
        <w:rPr>
          <w:rFonts w:ascii="Calibri" w:hAnsi="Calibri"/>
          <w:spacing w:val="-9"/>
        </w:rPr>
        <w:t xml:space="preserve"> </w:t>
      </w:r>
      <w:r>
        <w:rPr>
          <w:rFonts w:ascii="Calibri" w:hAnsi="Calibri"/>
        </w:rPr>
        <w:t>making an</w:t>
      </w:r>
      <w:r>
        <w:rPr>
          <w:rFonts w:ascii="Calibri" w:hAnsi="Calibri"/>
          <w:spacing w:val="-7"/>
        </w:rPr>
        <w:t xml:space="preserve"> </w:t>
      </w:r>
      <w:r>
        <w:rPr>
          <w:rFonts w:ascii="Calibri" w:hAnsi="Calibri"/>
        </w:rPr>
        <w:t>assessment</w:t>
      </w:r>
      <w:r>
        <w:rPr>
          <w:rFonts w:ascii="Calibri" w:hAnsi="Calibri"/>
          <w:spacing w:val="-9"/>
        </w:rPr>
        <w:t xml:space="preserve"> </w:t>
      </w:r>
      <w:r>
        <w:rPr>
          <w:rFonts w:ascii="Calibri" w:hAnsi="Calibri"/>
        </w:rPr>
        <w:t>whether</w:t>
      </w:r>
      <w:r>
        <w:rPr>
          <w:rFonts w:ascii="Calibri" w:hAnsi="Calibri"/>
          <w:spacing w:val="-8"/>
        </w:rPr>
        <w:t xml:space="preserve"> </w:t>
      </w:r>
      <w:r>
        <w:rPr>
          <w:rFonts w:ascii="Calibri" w:hAnsi="Calibri"/>
        </w:rPr>
        <w:t>the</w:t>
      </w:r>
      <w:r>
        <w:rPr>
          <w:rFonts w:ascii="Calibri" w:hAnsi="Calibri"/>
          <w:spacing w:val="-8"/>
        </w:rPr>
        <w:t xml:space="preserve"> </w:t>
      </w:r>
      <w:r>
        <w:rPr>
          <w:rFonts w:ascii="Calibri" w:hAnsi="Calibri"/>
        </w:rPr>
        <w:t>UNCRPD,</w:t>
      </w:r>
      <w:r>
        <w:rPr>
          <w:rFonts w:ascii="Calibri" w:hAnsi="Calibri"/>
          <w:spacing w:val="-7"/>
        </w:rPr>
        <w:t xml:space="preserve"> </w:t>
      </w:r>
      <w:r>
        <w:rPr>
          <w:rFonts w:ascii="Calibri" w:hAnsi="Calibri"/>
        </w:rPr>
        <w:t>accessibility,</w:t>
      </w:r>
      <w:r>
        <w:rPr>
          <w:rFonts w:ascii="Calibri" w:hAnsi="Calibri"/>
          <w:spacing w:val="-8"/>
        </w:rPr>
        <w:t xml:space="preserve"> </w:t>
      </w:r>
      <w:r>
        <w:rPr>
          <w:rFonts w:ascii="Calibri" w:hAnsi="Calibri"/>
        </w:rPr>
        <w:t>anti-discrimination</w:t>
      </w:r>
      <w:r>
        <w:rPr>
          <w:rFonts w:ascii="Calibri" w:hAnsi="Calibri"/>
          <w:spacing w:val="-8"/>
        </w:rPr>
        <w:t xml:space="preserve"> </w:t>
      </w:r>
      <w:r>
        <w:rPr>
          <w:rFonts w:ascii="Calibri" w:hAnsi="Calibri"/>
        </w:rPr>
        <w:t>law</w:t>
      </w:r>
      <w:r>
        <w:rPr>
          <w:rFonts w:ascii="Calibri" w:hAnsi="Calibri"/>
          <w:spacing w:val="-10"/>
        </w:rPr>
        <w:t xml:space="preserve"> </w:t>
      </w:r>
      <w:r>
        <w:rPr>
          <w:rFonts w:ascii="Calibri" w:hAnsi="Calibri"/>
        </w:rPr>
        <w:t>on</w:t>
      </w:r>
      <w:r>
        <w:rPr>
          <w:rFonts w:ascii="Calibri" w:hAnsi="Calibri"/>
          <w:spacing w:val="-7"/>
        </w:rPr>
        <w:t xml:space="preserve"> </w:t>
      </w:r>
      <w:r>
        <w:rPr>
          <w:rFonts w:ascii="Calibri" w:hAnsi="Calibri"/>
        </w:rPr>
        <w:t>the</w:t>
      </w:r>
      <w:r>
        <w:rPr>
          <w:rFonts w:ascii="Calibri" w:hAnsi="Calibri"/>
          <w:spacing w:val="-8"/>
        </w:rPr>
        <w:t xml:space="preserve"> </w:t>
      </w:r>
      <w:r>
        <w:rPr>
          <w:rFonts w:ascii="Calibri" w:hAnsi="Calibri"/>
        </w:rPr>
        <w:t>ground</w:t>
      </w:r>
      <w:r>
        <w:rPr>
          <w:rFonts w:ascii="Calibri" w:hAnsi="Calibri"/>
          <w:spacing w:val="-7"/>
        </w:rPr>
        <w:t xml:space="preserve"> </w:t>
      </w:r>
      <w:r>
        <w:rPr>
          <w:rFonts w:ascii="Calibri" w:hAnsi="Calibri"/>
        </w:rPr>
        <w:t>of</w:t>
      </w:r>
      <w:r>
        <w:rPr>
          <w:rFonts w:ascii="Calibri" w:hAnsi="Calibri"/>
          <w:spacing w:val="-9"/>
        </w:rPr>
        <w:t xml:space="preserve"> </w:t>
      </w:r>
      <w:r>
        <w:rPr>
          <w:rFonts w:ascii="Calibri" w:hAnsi="Calibri"/>
        </w:rPr>
        <w:t xml:space="preserve">disability and disability legislation have been complied </w:t>
      </w:r>
      <w:proofErr w:type="gramStart"/>
      <w:r>
        <w:rPr>
          <w:rFonts w:ascii="Calibri" w:hAnsi="Calibri"/>
        </w:rPr>
        <w:t>with .</w:t>
      </w:r>
      <w:proofErr w:type="gramEnd"/>
      <w:r>
        <w:rPr>
          <w:rFonts w:ascii="Calibri" w:hAnsi="Calibri"/>
        </w:rPr>
        <w:t xml:space="preserve"> Cases of non -compliance can be identified by article 33 UNCRPD (framework and independent mechanism for monitoring the UNCRPD. Responsible bodies should be involved in the assessment of complaints (i.e. fundamental rights/disability/ equality bodies/disabled persons’ </w:t>
      </w:r>
      <w:proofErr w:type="spellStart"/>
      <w:r>
        <w:rPr>
          <w:rFonts w:ascii="Calibri" w:hAnsi="Calibri"/>
        </w:rPr>
        <w:t>organisations</w:t>
      </w:r>
      <w:proofErr w:type="spellEnd"/>
      <w:r>
        <w:rPr>
          <w:rFonts w:ascii="Calibri" w:hAnsi="Calibri"/>
        </w:rPr>
        <w:t>. Cases of non- compliance identified by the UNCRPD Committee should also be considered. The reporting does not have to go into</w:t>
      </w:r>
      <w:r>
        <w:rPr>
          <w:rFonts w:ascii="Calibri" w:hAnsi="Calibri"/>
          <w:spacing w:val="-4"/>
        </w:rPr>
        <w:t xml:space="preserve"> </w:t>
      </w:r>
      <w:r>
        <w:rPr>
          <w:rFonts w:ascii="Calibri" w:hAnsi="Calibri"/>
        </w:rPr>
        <w:t>the</w:t>
      </w:r>
      <w:r>
        <w:rPr>
          <w:rFonts w:ascii="Calibri" w:hAnsi="Calibri"/>
          <w:spacing w:val="-6"/>
        </w:rPr>
        <w:t xml:space="preserve"> </w:t>
      </w:r>
      <w:r>
        <w:rPr>
          <w:rFonts w:ascii="Calibri" w:hAnsi="Calibri"/>
        </w:rPr>
        <w:t>details</w:t>
      </w:r>
      <w:r>
        <w:rPr>
          <w:rFonts w:ascii="Calibri" w:hAnsi="Calibri"/>
          <w:spacing w:val="-6"/>
        </w:rPr>
        <w:t xml:space="preserve"> </w:t>
      </w:r>
      <w:r>
        <w:rPr>
          <w:rFonts w:ascii="Calibri" w:hAnsi="Calibri"/>
        </w:rPr>
        <w:t>of</w:t>
      </w:r>
      <w:r>
        <w:rPr>
          <w:rFonts w:ascii="Calibri" w:hAnsi="Calibri"/>
          <w:spacing w:val="-4"/>
        </w:rPr>
        <w:t xml:space="preserve"> </w:t>
      </w:r>
      <w:r>
        <w:rPr>
          <w:rFonts w:ascii="Calibri" w:hAnsi="Calibri"/>
        </w:rPr>
        <w:t>all</w:t>
      </w:r>
      <w:r>
        <w:rPr>
          <w:rFonts w:ascii="Calibri" w:hAnsi="Calibri"/>
          <w:spacing w:val="-6"/>
        </w:rPr>
        <w:t xml:space="preserve"> </w:t>
      </w:r>
      <w:r>
        <w:rPr>
          <w:rFonts w:ascii="Calibri" w:hAnsi="Calibri"/>
        </w:rPr>
        <w:t>cases</w:t>
      </w:r>
      <w:r>
        <w:rPr>
          <w:rFonts w:ascii="Calibri" w:hAnsi="Calibri"/>
          <w:spacing w:val="-7"/>
        </w:rPr>
        <w:t xml:space="preserve"> </w:t>
      </w:r>
      <w:r>
        <w:rPr>
          <w:rFonts w:ascii="Calibri" w:hAnsi="Calibri"/>
        </w:rPr>
        <w:t>of</w:t>
      </w:r>
      <w:r>
        <w:rPr>
          <w:rFonts w:ascii="Calibri" w:hAnsi="Calibri"/>
          <w:spacing w:val="-4"/>
        </w:rPr>
        <w:t xml:space="preserve"> </w:t>
      </w:r>
      <w:r>
        <w:rPr>
          <w:rFonts w:ascii="Calibri" w:hAnsi="Calibri"/>
        </w:rPr>
        <w:t>non-compliance</w:t>
      </w:r>
      <w:r>
        <w:rPr>
          <w:rFonts w:ascii="Calibri" w:hAnsi="Calibri"/>
          <w:spacing w:val="-4"/>
        </w:rPr>
        <w:t xml:space="preserve"> </w:t>
      </w:r>
      <w:r>
        <w:rPr>
          <w:rFonts w:ascii="Calibri" w:hAnsi="Calibri"/>
        </w:rPr>
        <w:t>and</w:t>
      </w:r>
      <w:r>
        <w:rPr>
          <w:rFonts w:ascii="Calibri" w:hAnsi="Calibri"/>
          <w:spacing w:val="-4"/>
        </w:rPr>
        <w:t xml:space="preserve"> </w:t>
      </w:r>
      <w:r>
        <w:rPr>
          <w:rFonts w:ascii="Calibri" w:hAnsi="Calibri"/>
        </w:rPr>
        <w:t>complaints,</w:t>
      </w:r>
      <w:r>
        <w:rPr>
          <w:rFonts w:ascii="Calibri" w:hAnsi="Calibri"/>
          <w:spacing w:val="-5"/>
        </w:rPr>
        <w:t xml:space="preserve"> </w:t>
      </w:r>
      <w:r>
        <w:rPr>
          <w:rFonts w:ascii="Calibri" w:hAnsi="Calibri"/>
        </w:rPr>
        <w:t>but</w:t>
      </w:r>
      <w:r>
        <w:rPr>
          <w:rFonts w:ascii="Calibri" w:hAnsi="Calibri"/>
          <w:spacing w:val="-4"/>
        </w:rPr>
        <w:t xml:space="preserve"> </w:t>
      </w:r>
      <w:r>
        <w:rPr>
          <w:rFonts w:ascii="Calibri" w:hAnsi="Calibri"/>
        </w:rPr>
        <w:t>the</w:t>
      </w:r>
      <w:r>
        <w:rPr>
          <w:rFonts w:ascii="Calibri" w:hAnsi="Calibri"/>
          <w:spacing w:val="-6"/>
        </w:rPr>
        <w:t xml:space="preserve"> </w:t>
      </w:r>
      <w:r>
        <w:rPr>
          <w:rFonts w:ascii="Calibri" w:hAnsi="Calibri"/>
        </w:rPr>
        <w:t>monitoring</w:t>
      </w:r>
      <w:r>
        <w:rPr>
          <w:rFonts w:ascii="Calibri" w:hAnsi="Calibri"/>
          <w:spacing w:val="-4"/>
        </w:rPr>
        <w:t xml:space="preserve"> </w:t>
      </w:r>
      <w:r>
        <w:rPr>
          <w:rFonts w:ascii="Calibri" w:hAnsi="Calibri"/>
        </w:rPr>
        <w:t>committee</w:t>
      </w:r>
      <w:r>
        <w:rPr>
          <w:rFonts w:ascii="Calibri" w:hAnsi="Calibri"/>
          <w:spacing w:val="-3"/>
        </w:rPr>
        <w:t xml:space="preserve"> </w:t>
      </w:r>
      <w:r>
        <w:rPr>
          <w:rFonts w:ascii="Calibri" w:hAnsi="Calibri"/>
        </w:rPr>
        <w:t xml:space="preserve">should be informed about the number of cases and their scope to draw lessons for the implementation of the </w:t>
      </w:r>
      <w:proofErr w:type="spellStart"/>
      <w:proofErr w:type="gramStart"/>
      <w:r>
        <w:rPr>
          <w:rFonts w:ascii="Calibri" w:hAnsi="Calibri"/>
        </w:rPr>
        <w:t>programmes</w:t>
      </w:r>
      <w:proofErr w:type="spellEnd"/>
      <w:proofErr w:type="gramEnd"/>
      <w:r>
        <w:rPr>
          <w:rFonts w:ascii="Calibri" w:hAnsi="Calibri"/>
        </w:rPr>
        <w:t xml:space="preserve"> and it should be explained what the remedial, follow-up actions have been identified. The reference to Art. 63(6) CPR makes the link with the requirement for Member States to </w:t>
      </w:r>
      <w:proofErr w:type="gramStart"/>
      <w:r>
        <w:rPr>
          <w:rFonts w:ascii="Calibri" w:hAnsi="Calibri"/>
        </w:rPr>
        <w:t>make arrangements</w:t>
      </w:r>
      <w:proofErr w:type="gramEnd"/>
      <w:r>
        <w:rPr>
          <w:rFonts w:ascii="Calibri" w:hAnsi="Calibri"/>
        </w:rPr>
        <w:t xml:space="preserve"> for the effective examination of complaints concerning the Funds.</w:t>
      </w:r>
    </w:p>
    <w:p w14:paraId="11FE3C3B" w14:textId="77777777" w:rsidR="00161C10" w:rsidRDefault="00CE2C8C">
      <w:pPr>
        <w:spacing w:before="205"/>
        <w:ind w:left="334"/>
        <w:rPr>
          <w:rFonts w:ascii="Calibri"/>
          <w:b/>
        </w:rPr>
      </w:pPr>
      <w:r>
        <w:rPr>
          <w:rFonts w:ascii="Calibri"/>
          <w:b/>
        </w:rPr>
        <w:t>Guiding</w:t>
      </w:r>
      <w:r>
        <w:rPr>
          <w:rFonts w:ascii="Calibri"/>
          <w:b/>
          <w:spacing w:val="-7"/>
        </w:rPr>
        <w:t xml:space="preserve"> </w:t>
      </w:r>
      <w:r>
        <w:rPr>
          <w:rFonts w:ascii="Calibri"/>
          <w:b/>
          <w:spacing w:val="-2"/>
        </w:rPr>
        <w:t>questions:</w:t>
      </w:r>
    </w:p>
    <w:p w14:paraId="61596359" w14:textId="77777777" w:rsidR="00161C10" w:rsidRDefault="00CE2C8C">
      <w:pPr>
        <w:pStyle w:val="ListParagraph"/>
        <w:numPr>
          <w:ilvl w:val="0"/>
          <w:numId w:val="1"/>
        </w:numPr>
        <w:tabs>
          <w:tab w:val="left" w:pos="1056"/>
        </w:tabs>
        <w:spacing w:before="240" w:line="276" w:lineRule="auto"/>
        <w:ind w:right="1059"/>
      </w:pPr>
      <w:r>
        <w:t>Does the Member State provide information on the frequency of this reporting to the Monitoring Committee? =&gt; This point should be discussed at least once a year.</w:t>
      </w:r>
    </w:p>
    <w:p w14:paraId="3D4524D9" w14:textId="77777777" w:rsidR="00161C10" w:rsidRDefault="00CE2C8C">
      <w:pPr>
        <w:pStyle w:val="ListParagraph"/>
        <w:numPr>
          <w:ilvl w:val="0"/>
          <w:numId w:val="1"/>
        </w:numPr>
        <w:tabs>
          <w:tab w:val="left" w:pos="1056"/>
        </w:tabs>
        <w:spacing w:before="1" w:line="278" w:lineRule="auto"/>
        <w:ind w:right="1046"/>
      </w:pPr>
      <w:r>
        <w:rPr>
          <w:noProof/>
        </w:rPr>
        <mc:AlternateContent>
          <mc:Choice Requires="wps">
            <w:drawing>
              <wp:anchor distT="0" distB="0" distL="0" distR="0" simplePos="0" relativeHeight="487145984" behindDoc="1" locked="0" layoutInCell="1" allowOverlap="1" wp14:anchorId="02F1F7C7" wp14:editId="17BB3BFA">
                <wp:simplePos x="0" y="0"/>
                <wp:positionH relativeFrom="page">
                  <wp:posOffset>1127760</wp:posOffset>
                </wp:positionH>
                <wp:positionV relativeFrom="paragraph">
                  <wp:posOffset>96678</wp:posOffset>
                </wp:positionV>
                <wp:extent cx="41275" cy="952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9525"/>
                        </a:xfrm>
                        <a:custGeom>
                          <a:avLst/>
                          <a:gdLst/>
                          <a:ahLst/>
                          <a:cxnLst/>
                          <a:rect l="l" t="t" r="r" b="b"/>
                          <a:pathLst>
                            <a:path w="41275" h="9525">
                              <a:moveTo>
                                <a:pt x="41275" y="0"/>
                              </a:moveTo>
                              <a:lnTo>
                                <a:pt x="0" y="0"/>
                              </a:lnTo>
                              <a:lnTo>
                                <a:pt x="0" y="9525"/>
                              </a:lnTo>
                              <a:lnTo>
                                <a:pt x="41275" y="9525"/>
                              </a:lnTo>
                              <a:lnTo>
                                <a:pt x="41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5C27FB" id="Graphic 58" o:spid="_x0000_s1026" style="position:absolute;margin-left:88.8pt;margin-top:7.6pt;width:3.25pt;height:.75pt;z-index:-16170496;visibility:visible;mso-wrap-style:square;mso-wrap-distance-left:0;mso-wrap-distance-top:0;mso-wrap-distance-right:0;mso-wrap-distance-bottom:0;mso-position-horizontal:absolute;mso-position-horizontal-relative:page;mso-position-vertical:absolute;mso-position-vertical-relative:text;v-text-anchor:top" coordsize="412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" path="m41275,l,,,9525r41275,l41275,xe" fillcolor="black" stroked="f">
                <v:path arrowok="t"/>
                <w10:wrap anchorx="page"/>
              </v:shape>
            </w:pict>
          </mc:Fallback>
        </mc:AlternateContent>
      </w:r>
      <w:r>
        <w:t>Does the Member State describe the scope of information that will be presented to the Monitoring Committee, i.e. number of complaints and cases of non-compliance, their status, which rights are affected, consequences of non-compliance, corrective/preventative/follow- up measures taken/to be taken to avoid this situation repeating in the future?</w:t>
      </w:r>
    </w:p>
    <w:p w14:paraId="20A378AB" w14:textId="77777777" w:rsidR="00161C10" w:rsidRDefault="00CE2C8C">
      <w:pPr>
        <w:pStyle w:val="ListParagraph"/>
        <w:numPr>
          <w:ilvl w:val="0"/>
          <w:numId w:val="1"/>
        </w:numPr>
        <w:tabs>
          <w:tab w:val="left" w:pos="1056"/>
        </w:tabs>
        <w:spacing w:line="276" w:lineRule="auto"/>
        <w:ind w:right="1054"/>
      </w:pPr>
      <w:r>
        <w:t xml:space="preserve">Are the competent bodies involved in the assessment of complaints (i.e. fundamental rights/disability/equality bodies/disabled persons’ </w:t>
      </w:r>
      <w:proofErr w:type="spellStart"/>
      <w:r>
        <w:t>organisations</w:t>
      </w:r>
      <w:proofErr w:type="spellEnd"/>
      <w:r>
        <w:t xml:space="preserve"> (DPOs)/UNCRPD independent framework (art 33)), in accordance with the institutional and legal framework?</w:t>
      </w:r>
    </w:p>
    <w:p w14:paraId="3A58F7D0" w14:textId="77777777" w:rsidR="00161C10" w:rsidRDefault="00CE2C8C">
      <w:pPr>
        <w:pStyle w:val="ListParagraph"/>
        <w:numPr>
          <w:ilvl w:val="0"/>
          <w:numId w:val="1"/>
        </w:numPr>
        <w:tabs>
          <w:tab w:val="left" w:pos="1056"/>
        </w:tabs>
        <w:spacing w:line="271" w:lineRule="auto"/>
        <w:ind w:right="1064"/>
      </w:pPr>
      <w:r>
        <w:t>Does the Member State provide information on who will be responsible for presenting this information to the Monitoring Committee?</w:t>
      </w:r>
    </w:p>
    <w:p w14:paraId="0227A92E" w14:textId="77777777" w:rsidR="00161C10" w:rsidRDefault="00CE2C8C">
      <w:pPr>
        <w:pStyle w:val="ListParagraph"/>
        <w:numPr>
          <w:ilvl w:val="0"/>
          <w:numId w:val="1"/>
        </w:numPr>
        <w:tabs>
          <w:tab w:val="left" w:pos="1053"/>
        </w:tabs>
        <w:spacing w:before="3"/>
        <w:ind w:left="1053" w:hanging="359"/>
      </w:pPr>
      <w:r>
        <w:t>Does</w:t>
      </w:r>
      <w:r>
        <w:rPr>
          <w:spacing w:val="-11"/>
        </w:rPr>
        <w:t xml:space="preserve"> </w:t>
      </w:r>
      <w:r>
        <w:t>the</w:t>
      </w:r>
      <w:r>
        <w:rPr>
          <w:spacing w:val="-8"/>
        </w:rPr>
        <w:t xml:space="preserve"> </w:t>
      </w:r>
      <w:r>
        <w:t>Member</w:t>
      </w:r>
      <w:r>
        <w:rPr>
          <w:spacing w:val="-6"/>
        </w:rPr>
        <w:t xml:space="preserve"> </w:t>
      </w:r>
      <w:r>
        <w:t>State</w:t>
      </w:r>
      <w:r>
        <w:rPr>
          <w:spacing w:val="-5"/>
        </w:rPr>
        <w:t xml:space="preserve"> </w:t>
      </w:r>
      <w:r>
        <w:t>provide</w:t>
      </w:r>
      <w:r>
        <w:rPr>
          <w:spacing w:val="-7"/>
        </w:rPr>
        <w:t xml:space="preserve"> </w:t>
      </w:r>
      <w:r>
        <w:t>information</w:t>
      </w:r>
      <w:r>
        <w:rPr>
          <w:spacing w:val="-7"/>
        </w:rPr>
        <w:t xml:space="preserve"> </w:t>
      </w:r>
      <w:r>
        <w:t>on</w:t>
      </w:r>
      <w:r>
        <w:rPr>
          <w:spacing w:val="-8"/>
        </w:rPr>
        <w:t xml:space="preserve"> </w:t>
      </w:r>
      <w:r>
        <w:t>how</w:t>
      </w:r>
      <w:r>
        <w:rPr>
          <w:spacing w:val="-7"/>
        </w:rPr>
        <w:t xml:space="preserve"> </w:t>
      </w:r>
      <w:r>
        <w:t>this</w:t>
      </w:r>
      <w:r>
        <w:rPr>
          <w:spacing w:val="-3"/>
        </w:rPr>
        <w:t xml:space="preserve"> </w:t>
      </w:r>
      <w:r>
        <w:t>point</w:t>
      </w:r>
      <w:r>
        <w:rPr>
          <w:spacing w:val="-4"/>
        </w:rPr>
        <w:t xml:space="preserve"> </w:t>
      </w:r>
      <w:r>
        <w:t>will</w:t>
      </w:r>
      <w:r>
        <w:rPr>
          <w:spacing w:val="-5"/>
        </w:rPr>
        <w:t xml:space="preserve"> </w:t>
      </w:r>
      <w:r>
        <w:t>be</w:t>
      </w:r>
      <w:r>
        <w:rPr>
          <w:spacing w:val="-5"/>
        </w:rPr>
        <w:t xml:space="preserve"> </w:t>
      </w:r>
      <w:r>
        <w:rPr>
          <w:spacing w:val="-2"/>
        </w:rPr>
        <w:t>discussed?</w:t>
      </w:r>
    </w:p>
    <w:p w14:paraId="4691E92E" w14:textId="77777777" w:rsidR="00161C10" w:rsidRDefault="00161C10">
      <w:pPr>
        <w:pStyle w:val="ListParagraph"/>
        <w:sectPr w:rsidR="00161C10">
          <w:footerReference w:type="default" r:id="rId131"/>
          <w:pgSz w:w="11920" w:h="16850"/>
          <w:pgMar w:top="1380" w:right="360" w:bottom="280" w:left="1080" w:header="0" w:footer="0" w:gutter="0"/>
          <w:cols w:space="720"/>
        </w:sectPr>
      </w:pPr>
    </w:p>
    <w:p w14:paraId="66AB6EA4" w14:textId="77777777" w:rsidR="00161C10" w:rsidRDefault="00CE2C8C" w:rsidP="005B2E9B">
      <w:pPr>
        <w:pStyle w:val="Heading1"/>
      </w:pPr>
      <w:r>
        <w:lastRenderedPageBreak/>
        <w:t>Annex</w:t>
      </w:r>
      <w:r>
        <w:rPr>
          <w:spacing w:val="-12"/>
        </w:rPr>
        <w:t xml:space="preserve"> </w:t>
      </w:r>
      <w:r>
        <w:rPr>
          <w:spacing w:val="-5"/>
        </w:rPr>
        <w:t>II</w:t>
      </w:r>
    </w:p>
    <w:p w14:paraId="59C06DC2" w14:textId="77777777" w:rsidR="00161C10" w:rsidRDefault="00161C10">
      <w:pPr>
        <w:pStyle w:val="BodyText"/>
        <w:rPr>
          <w:rFonts w:ascii="Arial"/>
          <w:b/>
          <w:sz w:val="20"/>
        </w:rPr>
      </w:pPr>
    </w:p>
    <w:p w14:paraId="463F7FB2" w14:textId="5FC459EF" w:rsidR="00161C10" w:rsidRDefault="00161C10">
      <w:pPr>
        <w:pStyle w:val="BodyText"/>
        <w:spacing w:before="45"/>
        <w:rPr>
          <w:rFonts w:ascii="Arial"/>
          <w:b/>
          <w:sz w:val="20"/>
        </w:rPr>
      </w:pPr>
    </w:p>
    <w:tbl>
      <w:tblPr>
        <w:tblStyle w:val="TableNormal1"/>
        <w:tblW w:w="0" w:type="auto"/>
        <w:tblInd w:w="471" w:type="dxa"/>
        <w:tblLayout w:type="fixed"/>
        <w:tblLook w:val="01E0" w:firstRow="1" w:lastRow="1" w:firstColumn="1" w:lastColumn="1" w:noHBand="0" w:noVBand="0"/>
      </w:tblPr>
      <w:tblGrid>
        <w:gridCol w:w="2455"/>
        <w:gridCol w:w="5610"/>
      </w:tblGrid>
      <w:tr w:rsidR="00161C10" w14:paraId="64599192" w14:textId="77777777">
        <w:trPr>
          <w:trHeight w:val="1159"/>
        </w:trPr>
        <w:tc>
          <w:tcPr>
            <w:tcW w:w="2455" w:type="dxa"/>
          </w:tcPr>
          <w:p w14:paraId="0D12AFCD" w14:textId="77777777" w:rsidR="00161C10" w:rsidRDefault="00CE2C8C">
            <w:pPr>
              <w:pStyle w:val="TableParagraph"/>
              <w:ind w:left="50"/>
              <w:rPr>
                <w:rFonts w:ascii="Arial"/>
                <w:sz w:val="20"/>
              </w:rPr>
            </w:pPr>
            <w:r>
              <w:rPr>
                <w:rFonts w:ascii="Arial"/>
                <w:noProof/>
                <w:sz w:val="20"/>
              </w:rPr>
              <w:drawing>
                <wp:inline distT="0" distB="0" distL="0" distR="0" wp14:anchorId="04F89F85" wp14:editId="510C768D">
                  <wp:extent cx="1362468" cy="672083"/>
                  <wp:effectExtent l="0" t="0" r="0" b="0"/>
                  <wp:docPr id="59" name="Image 59"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32" cstate="print"/>
                          <a:stretch>
                            <a:fillRect/>
                          </a:stretch>
                        </pic:blipFill>
                        <pic:spPr>
                          <a:xfrm>
                            <a:off x="0" y="0"/>
                            <a:ext cx="1362468" cy="672083"/>
                          </a:xfrm>
                          <a:prstGeom prst="rect">
                            <a:avLst/>
                          </a:prstGeom>
                        </pic:spPr>
                      </pic:pic>
                    </a:graphicData>
                  </a:graphic>
                </wp:inline>
              </w:drawing>
            </w:r>
          </w:p>
        </w:tc>
        <w:tc>
          <w:tcPr>
            <w:tcW w:w="5610" w:type="dxa"/>
          </w:tcPr>
          <w:p w14:paraId="20EF00AD" w14:textId="247907C3" w:rsidR="00161C10" w:rsidRDefault="00CE2C8C">
            <w:pPr>
              <w:pStyle w:val="TableParagraph"/>
              <w:spacing w:before="81"/>
              <w:rPr>
                <w:sz w:val="24"/>
              </w:rPr>
            </w:pPr>
            <w:r>
              <w:rPr>
                <w:sz w:val="24"/>
              </w:rPr>
              <w:t>EUROPEAN</w:t>
            </w:r>
            <w:r>
              <w:rPr>
                <w:spacing w:val="-4"/>
                <w:sz w:val="24"/>
              </w:rPr>
              <w:t xml:space="preserve"> </w:t>
            </w:r>
            <w:r>
              <w:rPr>
                <w:spacing w:val="-2"/>
                <w:sz w:val="24"/>
              </w:rPr>
              <w:t>COMMISSION</w:t>
            </w:r>
          </w:p>
          <w:p w14:paraId="0BF99EFA" w14:textId="6A841690" w:rsidR="00161C10" w:rsidRDefault="00CE2C8C">
            <w:pPr>
              <w:pStyle w:val="TableParagraph"/>
              <w:spacing w:before="5"/>
              <w:rPr>
                <w:sz w:val="16"/>
              </w:rPr>
            </w:pPr>
            <w:r>
              <w:rPr>
                <w:spacing w:val="-2"/>
                <w:sz w:val="16"/>
              </w:rPr>
              <w:t>DIRECTORATE-GENERAL</w:t>
            </w:r>
            <w:r>
              <w:rPr>
                <w:sz w:val="16"/>
              </w:rPr>
              <w:t xml:space="preserve"> </w:t>
            </w:r>
            <w:r>
              <w:rPr>
                <w:spacing w:val="-2"/>
                <w:sz w:val="16"/>
              </w:rPr>
              <w:t>FOR</w:t>
            </w:r>
            <w:r>
              <w:rPr>
                <w:spacing w:val="4"/>
                <w:sz w:val="16"/>
              </w:rPr>
              <w:t xml:space="preserve"> </w:t>
            </w:r>
            <w:r>
              <w:rPr>
                <w:spacing w:val="-2"/>
                <w:sz w:val="16"/>
              </w:rPr>
              <w:t>AGRICULTURE</w:t>
            </w:r>
            <w:r>
              <w:rPr>
                <w:spacing w:val="5"/>
                <w:sz w:val="16"/>
              </w:rPr>
              <w:t xml:space="preserve"> </w:t>
            </w:r>
            <w:r>
              <w:rPr>
                <w:spacing w:val="-2"/>
                <w:sz w:val="16"/>
              </w:rPr>
              <w:t>AND</w:t>
            </w:r>
            <w:r>
              <w:rPr>
                <w:spacing w:val="-1"/>
                <w:sz w:val="16"/>
              </w:rPr>
              <w:t xml:space="preserve"> </w:t>
            </w:r>
            <w:r>
              <w:rPr>
                <w:spacing w:val="-2"/>
                <w:sz w:val="16"/>
              </w:rPr>
              <w:t>RURAL</w:t>
            </w:r>
            <w:r>
              <w:rPr>
                <w:spacing w:val="3"/>
                <w:sz w:val="16"/>
              </w:rPr>
              <w:t xml:space="preserve"> </w:t>
            </w:r>
            <w:r>
              <w:rPr>
                <w:spacing w:val="-2"/>
                <w:sz w:val="16"/>
              </w:rPr>
              <w:t>DEVELOPMENT</w:t>
            </w:r>
          </w:p>
          <w:p w14:paraId="042A4304" w14:textId="5CF4EA42" w:rsidR="00161C10" w:rsidRDefault="005B2E9B">
            <w:pPr>
              <w:pStyle w:val="TableParagraph"/>
              <w:spacing w:before="3"/>
              <w:rPr>
                <w:b/>
                <w:sz w:val="16"/>
              </w:rPr>
            </w:pPr>
            <w:r>
              <w:rPr>
                <w:noProof/>
                <w:sz w:val="16"/>
              </w:rPr>
              <mc:AlternateContent>
                <mc:Choice Requires="wpg">
                  <w:drawing>
                    <wp:anchor distT="0" distB="0" distL="0" distR="0" simplePos="0" relativeHeight="251657216" behindDoc="0" locked="0" layoutInCell="1" allowOverlap="1" wp14:anchorId="662CD2C4" wp14:editId="112162E1">
                      <wp:simplePos x="0" y="0"/>
                      <wp:positionH relativeFrom="column">
                        <wp:posOffset>2540</wp:posOffset>
                      </wp:positionH>
                      <wp:positionV relativeFrom="paragraph">
                        <wp:posOffset>40005</wp:posOffset>
                      </wp:positionV>
                      <wp:extent cx="2832100" cy="29210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2100" cy="292100"/>
                                <a:chOff x="0" y="0"/>
                                <a:chExt cx="2832100" cy="292100"/>
                              </a:xfrm>
                            </wpg:grpSpPr>
                            <wps:wsp>
                              <wps:cNvPr id="61" name="Graphic 61"/>
                              <wps:cNvSpPr/>
                              <wps:spPr>
                                <a:xfrm>
                                  <a:off x="0" y="0"/>
                                  <a:ext cx="2832100" cy="292100"/>
                                </a:xfrm>
                                <a:custGeom>
                                  <a:avLst/>
                                  <a:gdLst/>
                                  <a:ahLst/>
                                  <a:cxnLst/>
                                  <a:rect l="l" t="t" r="r" b="b"/>
                                  <a:pathLst>
                                    <a:path w="2832100" h="292100">
                                      <a:moveTo>
                                        <a:pt x="2832099" y="0"/>
                                      </a:moveTo>
                                      <a:lnTo>
                                        <a:pt x="0" y="0"/>
                                      </a:lnTo>
                                      <a:lnTo>
                                        <a:pt x="0" y="292100"/>
                                      </a:lnTo>
                                      <a:lnTo>
                                        <a:pt x="2832099" y="292100"/>
                                      </a:lnTo>
                                      <a:lnTo>
                                        <a:pt x="2832099" y="0"/>
                                      </a:lnTo>
                                      <a:close/>
                                    </a:path>
                                  </a:pathLst>
                                </a:custGeom>
                                <a:solidFill>
                                  <a:srgbClr val="424242"/>
                                </a:solidFill>
                              </wps:spPr>
                              <wps:bodyPr wrap="square" lIns="0" tIns="0" rIns="0" bIns="0" rtlCol="0">
                                <a:prstTxWarp prst="textNoShape">
                                  <a:avLst/>
                                </a:prstTxWarp>
                                <a:noAutofit/>
                              </wps:bodyPr>
                            </wps:wsp>
                          </wpg:wgp>
                        </a:graphicData>
                      </a:graphic>
                    </wp:anchor>
                  </w:drawing>
                </mc:Choice>
                <mc:Fallback>
                  <w:pict>
                    <v:group w14:anchorId="0566618A" id="Group 60" o:spid="_x0000_s1026" style="position:absolute;margin-left:.2pt;margin-top:3.15pt;width:223pt;height:23pt;z-index:251657216;mso-wrap-distance-left:0;mso-wrap-distance-right:0" coordsize="28321,2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">
                      <v:shape id="Graphic 61" o:spid="_x0000_s1027" style="position:absolute;width:28321;height:2921;visibility:visible;mso-wrap-style:square;v-text-anchor:top" coordsize="28321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" path="m2832099,l,,,292100r2832099,l2832099,xe" fillcolor="#424242" stroked="f">
                        <v:path arrowok="t"/>
                      </v:shape>
                    </v:group>
                  </w:pict>
                </mc:Fallback>
              </mc:AlternateContent>
            </w:r>
          </w:p>
        </w:tc>
      </w:tr>
    </w:tbl>
    <w:p w14:paraId="5B3289CF" w14:textId="760A656F" w:rsidR="00161C10" w:rsidRDefault="00161C10">
      <w:pPr>
        <w:pStyle w:val="BodyText"/>
        <w:spacing w:before="67"/>
        <w:rPr>
          <w:rFonts w:ascii="Arial"/>
          <w:b/>
          <w:sz w:val="20"/>
        </w:rPr>
      </w:pPr>
    </w:p>
    <w:p w14:paraId="3CDDBDD0" w14:textId="191F3304" w:rsidR="00161C10" w:rsidRDefault="00CE2C8C">
      <w:pPr>
        <w:ind w:left="5610" w:right="3098"/>
        <w:rPr>
          <w:rFonts w:ascii="Times New Roman"/>
          <w:sz w:val="20"/>
        </w:rPr>
      </w:pPr>
      <w:r>
        <w:rPr>
          <w:rFonts w:ascii="Times New Roman"/>
          <w:spacing w:val="-2"/>
          <w:sz w:val="24"/>
        </w:rPr>
        <w:t xml:space="preserve">Brussels </w:t>
      </w:r>
      <w:r>
        <w:rPr>
          <w:rFonts w:ascii="Times New Roman"/>
          <w:spacing w:val="-2"/>
          <w:sz w:val="20"/>
        </w:rPr>
        <w:t>agri.i.1(2023)1697117 EA-23-44</w:t>
      </w:r>
    </w:p>
    <w:p w14:paraId="21C7B8D2" w14:textId="77777777" w:rsidR="00161C10" w:rsidRDefault="00161C10">
      <w:pPr>
        <w:pStyle w:val="BodyText"/>
        <w:spacing w:before="130"/>
        <w:rPr>
          <w:rFonts w:ascii="Times New Roman"/>
          <w:sz w:val="20"/>
        </w:rPr>
      </w:pPr>
    </w:p>
    <w:p w14:paraId="060A051E" w14:textId="77777777" w:rsidR="00161C10" w:rsidRDefault="00CE2C8C">
      <w:pPr>
        <w:ind w:left="5610"/>
        <w:rPr>
          <w:rFonts w:ascii="Times New Roman"/>
          <w:sz w:val="28"/>
        </w:rPr>
      </w:pPr>
      <w:r>
        <w:rPr>
          <w:rFonts w:ascii="Times New Roman"/>
          <w:b/>
          <w:sz w:val="28"/>
        </w:rPr>
        <w:t>SENSITIVE</w:t>
      </w:r>
      <w:r>
        <w:rPr>
          <w:rFonts w:ascii="Times New Roman"/>
          <w:b/>
          <w:spacing w:val="-11"/>
          <w:sz w:val="28"/>
        </w:rPr>
        <w:t xml:space="preserve"> </w:t>
      </w:r>
      <w:r>
        <w:rPr>
          <w:rFonts w:ascii="Times New Roman"/>
          <w:sz w:val="28"/>
        </w:rPr>
        <w:t>(</w:t>
      </w:r>
      <w:r>
        <w:rPr>
          <w:rFonts w:ascii="Times New Roman"/>
          <w:sz w:val="28"/>
          <w:vertAlign w:val="superscript"/>
        </w:rPr>
        <w:t>*</w:t>
      </w:r>
      <w:r>
        <w:rPr>
          <w:rFonts w:ascii="Times New Roman"/>
          <w:sz w:val="28"/>
        </w:rPr>
        <w:t>):</w:t>
      </w:r>
      <w:r>
        <w:rPr>
          <w:rFonts w:ascii="Times New Roman"/>
          <w:spacing w:val="-11"/>
          <w:sz w:val="28"/>
        </w:rPr>
        <w:t xml:space="preserve"> </w:t>
      </w:r>
      <w:r>
        <w:rPr>
          <w:rFonts w:ascii="Times New Roman"/>
          <w:spacing w:val="-2"/>
          <w:sz w:val="28"/>
        </w:rPr>
        <w:t>AGRI.I.1</w:t>
      </w:r>
    </w:p>
    <w:p w14:paraId="4973058C" w14:textId="77777777" w:rsidR="00161C10" w:rsidRPr="00CE2C8C" w:rsidRDefault="00CE2C8C" w:rsidP="00CE2C8C">
      <w:pPr>
        <w:ind w:left="504"/>
        <w:rPr>
          <w:rFonts w:ascii="Times New Roman" w:hAnsi="Times New Roman" w:cs="Times New Roman"/>
          <w:b/>
          <w:bCs/>
          <w:sz w:val="24"/>
          <w:szCs w:val="24"/>
        </w:rPr>
      </w:pPr>
      <w:r w:rsidRPr="00CE2C8C">
        <w:rPr>
          <w:rFonts w:ascii="Times New Roman" w:hAnsi="Times New Roman" w:cs="Times New Roman"/>
          <w:b/>
          <w:bCs/>
          <w:spacing w:val="-2"/>
          <w:sz w:val="24"/>
          <w:szCs w:val="24"/>
        </w:rPr>
        <w:t>Subject:</w:t>
      </w:r>
      <w:r w:rsidRPr="00CE2C8C">
        <w:rPr>
          <w:rFonts w:ascii="Times New Roman" w:hAnsi="Times New Roman" w:cs="Times New Roman"/>
          <w:b/>
          <w:bCs/>
          <w:sz w:val="24"/>
          <w:szCs w:val="24"/>
        </w:rPr>
        <w:tab/>
        <w:t>Your</w:t>
      </w:r>
      <w:r w:rsidRPr="00CE2C8C">
        <w:rPr>
          <w:rFonts w:ascii="Times New Roman" w:hAnsi="Times New Roman" w:cs="Times New Roman"/>
          <w:b/>
          <w:bCs/>
          <w:spacing w:val="-8"/>
          <w:sz w:val="24"/>
          <w:szCs w:val="24"/>
        </w:rPr>
        <w:t xml:space="preserve"> </w:t>
      </w:r>
      <w:r w:rsidRPr="00CE2C8C">
        <w:rPr>
          <w:rFonts w:ascii="Times New Roman" w:hAnsi="Times New Roman" w:cs="Times New Roman"/>
          <w:b/>
          <w:bCs/>
          <w:sz w:val="24"/>
          <w:szCs w:val="24"/>
        </w:rPr>
        <w:t>complaint</w:t>
      </w:r>
      <w:r w:rsidRPr="00CE2C8C">
        <w:rPr>
          <w:rFonts w:ascii="Times New Roman" w:hAnsi="Times New Roman" w:cs="Times New Roman"/>
          <w:b/>
          <w:bCs/>
          <w:spacing w:val="-8"/>
          <w:sz w:val="24"/>
          <w:szCs w:val="24"/>
        </w:rPr>
        <w:t xml:space="preserve"> </w:t>
      </w:r>
      <w:r w:rsidRPr="00CE2C8C">
        <w:rPr>
          <w:rFonts w:ascii="Times New Roman" w:hAnsi="Times New Roman" w:cs="Times New Roman"/>
          <w:b/>
          <w:bCs/>
          <w:sz w:val="24"/>
          <w:szCs w:val="24"/>
        </w:rPr>
        <w:t>concerning</w:t>
      </w:r>
      <w:r w:rsidRPr="00CE2C8C">
        <w:rPr>
          <w:rFonts w:ascii="Times New Roman" w:hAnsi="Times New Roman" w:cs="Times New Roman"/>
          <w:b/>
          <w:bCs/>
          <w:spacing w:val="-4"/>
          <w:sz w:val="24"/>
          <w:szCs w:val="24"/>
        </w:rPr>
        <w:t xml:space="preserve"> </w:t>
      </w:r>
      <w:r w:rsidRPr="00CE2C8C">
        <w:rPr>
          <w:rFonts w:ascii="Times New Roman" w:hAnsi="Times New Roman" w:cs="Times New Roman"/>
          <w:b/>
          <w:bCs/>
          <w:sz w:val="24"/>
          <w:szCs w:val="24"/>
        </w:rPr>
        <w:t>a</w:t>
      </w:r>
      <w:r w:rsidRPr="00CE2C8C">
        <w:rPr>
          <w:rFonts w:ascii="Times New Roman" w:hAnsi="Times New Roman" w:cs="Times New Roman"/>
          <w:b/>
          <w:bCs/>
          <w:spacing w:val="-11"/>
          <w:sz w:val="24"/>
          <w:szCs w:val="24"/>
        </w:rPr>
        <w:t xml:space="preserve"> </w:t>
      </w:r>
      <w:r w:rsidRPr="00CE2C8C">
        <w:rPr>
          <w:rFonts w:ascii="Times New Roman" w:hAnsi="Times New Roman" w:cs="Times New Roman"/>
          <w:b/>
          <w:bCs/>
          <w:sz w:val="24"/>
          <w:szCs w:val="24"/>
        </w:rPr>
        <w:t>facility</w:t>
      </w:r>
      <w:r w:rsidRPr="00CE2C8C">
        <w:rPr>
          <w:rFonts w:ascii="Times New Roman" w:hAnsi="Times New Roman" w:cs="Times New Roman"/>
          <w:b/>
          <w:bCs/>
          <w:spacing w:val="-8"/>
          <w:sz w:val="24"/>
          <w:szCs w:val="24"/>
        </w:rPr>
        <w:t xml:space="preserve"> </w:t>
      </w:r>
      <w:r w:rsidRPr="00CE2C8C">
        <w:rPr>
          <w:rFonts w:ascii="Times New Roman" w:hAnsi="Times New Roman" w:cs="Times New Roman"/>
          <w:b/>
          <w:bCs/>
          <w:sz w:val="24"/>
          <w:szCs w:val="24"/>
        </w:rPr>
        <w:t>for</w:t>
      </w:r>
      <w:r w:rsidRPr="00CE2C8C">
        <w:rPr>
          <w:rFonts w:ascii="Times New Roman" w:hAnsi="Times New Roman" w:cs="Times New Roman"/>
          <w:b/>
          <w:bCs/>
          <w:spacing w:val="-10"/>
          <w:sz w:val="24"/>
          <w:szCs w:val="24"/>
        </w:rPr>
        <w:t xml:space="preserve"> </w:t>
      </w:r>
      <w:r w:rsidRPr="00CE2C8C">
        <w:rPr>
          <w:rFonts w:ascii="Times New Roman" w:hAnsi="Times New Roman" w:cs="Times New Roman"/>
          <w:b/>
          <w:bCs/>
          <w:sz w:val="24"/>
          <w:szCs w:val="24"/>
        </w:rPr>
        <w:t>children</w:t>
      </w:r>
      <w:r w:rsidRPr="00CE2C8C">
        <w:rPr>
          <w:rFonts w:ascii="Times New Roman" w:hAnsi="Times New Roman" w:cs="Times New Roman"/>
          <w:b/>
          <w:bCs/>
          <w:spacing w:val="-4"/>
          <w:sz w:val="24"/>
          <w:szCs w:val="24"/>
        </w:rPr>
        <w:t xml:space="preserve"> </w:t>
      </w:r>
      <w:r w:rsidRPr="00CE2C8C">
        <w:rPr>
          <w:rFonts w:ascii="Times New Roman" w:hAnsi="Times New Roman" w:cs="Times New Roman"/>
          <w:b/>
          <w:bCs/>
          <w:sz w:val="24"/>
          <w:szCs w:val="24"/>
        </w:rPr>
        <w:t>with</w:t>
      </w:r>
      <w:r w:rsidRPr="00CE2C8C">
        <w:rPr>
          <w:rFonts w:ascii="Times New Roman" w:hAnsi="Times New Roman" w:cs="Times New Roman"/>
          <w:b/>
          <w:bCs/>
          <w:spacing w:val="-7"/>
          <w:sz w:val="24"/>
          <w:szCs w:val="24"/>
        </w:rPr>
        <w:t xml:space="preserve"> </w:t>
      </w:r>
      <w:r w:rsidRPr="00CE2C8C">
        <w:rPr>
          <w:rFonts w:ascii="Times New Roman" w:hAnsi="Times New Roman" w:cs="Times New Roman"/>
          <w:b/>
          <w:bCs/>
          <w:sz w:val="24"/>
          <w:szCs w:val="24"/>
        </w:rPr>
        <w:t>disabilities</w:t>
      </w:r>
      <w:r w:rsidRPr="00CE2C8C">
        <w:rPr>
          <w:rFonts w:ascii="Times New Roman" w:hAnsi="Times New Roman" w:cs="Times New Roman"/>
          <w:b/>
          <w:bCs/>
          <w:spacing w:val="-5"/>
          <w:sz w:val="24"/>
          <w:szCs w:val="24"/>
        </w:rPr>
        <w:t xml:space="preserve"> </w:t>
      </w:r>
      <w:r w:rsidRPr="00CE2C8C">
        <w:rPr>
          <w:rFonts w:ascii="Times New Roman" w:hAnsi="Times New Roman" w:cs="Times New Roman"/>
          <w:b/>
          <w:bCs/>
          <w:sz w:val="24"/>
          <w:szCs w:val="24"/>
        </w:rPr>
        <w:t>in Carinthia cofinanced under the Austrian RDP 2014-2020</w:t>
      </w:r>
    </w:p>
    <w:p w14:paraId="5CA8A7CC" w14:textId="77777777" w:rsidR="00161C10" w:rsidRDefault="00CE2C8C">
      <w:pPr>
        <w:pStyle w:val="BodyText"/>
        <w:tabs>
          <w:tab w:val="left" w:pos="1697"/>
        </w:tabs>
        <w:spacing w:before="232"/>
        <w:ind w:left="504"/>
        <w:rPr>
          <w:rFonts w:ascii="Times New Roman"/>
        </w:rPr>
      </w:pPr>
      <w:r>
        <w:rPr>
          <w:rFonts w:ascii="Times New Roman"/>
          <w:spacing w:val="-2"/>
        </w:rPr>
        <w:t>Ref.:</w:t>
      </w:r>
      <w:r>
        <w:rPr>
          <w:rFonts w:ascii="Times New Roman"/>
        </w:rPr>
        <w:tab/>
      </w:r>
      <w:proofErr w:type="gramStart"/>
      <w:r>
        <w:rPr>
          <w:rFonts w:ascii="Times New Roman"/>
        </w:rPr>
        <w:t>CHAP(</w:t>
      </w:r>
      <w:proofErr w:type="gramEnd"/>
      <w:r>
        <w:rPr>
          <w:rFonts w:ascii="Times New Roman"/>
        </w:rPr>
        <w:t>2022)</w:t>
      </w:r>
      <w:r>
        <w:rPr>
          <w:rFonts w:ascii="Times New Roman"/>
          <w:spacing w:val="-5"/>
        </w:rPr>
        <w:t xml:space="preserve"> </w:t>
      </w:r>
      <w:r>
        <w:rPr>
          <w:rFonts w:ascii="Times New Roman"/>
          <w:spacing w:val="-4"/>
        </w:rPr>
        <w:t>03039</w:t>
      </w:r>
    </w:p>
    <w:p w14:paraId="4D3A1214" w14:textId="77777777" w:rsidR="00161C10" w:rsidRDefault="00161C10">
      <w:pPr>
        <w:pStyle w:val="BodyText"/>
        <w:rPr>
          <w:rFonts w:ascii="Times New Roman"/>
        </w:rPr>
      </w:pPr>
    </w:p>
    <w:p w14:paraId="47D4625B" w14:textId="77777777" w:rsidR="00161C10" w:rsidRDefault="00161C10">
      <w:pPr>
        <w:pStyle w:val="BodyText"/>
        <w:spacing w:before="168"/>
        <w:rPr>
          <w:rFonts w:ascii="Times New Roman"/>
        </w:rPr>
      </w:pPr>
    </w:p>
    <w:p w14:paraId="39CE15C6" w14:textId="77777777" w:rsidR="00161C10" w:rsidRDefault="00CE2C8C">
      <w:pPr>
        <w:pStyle w:val="BodyText"/>
        <w:ind w:left="504"/>
        <w:rPr>
          <w:rFonts w:ascii="Times New Roman"/>
        </w:rPr>
      </w:pPr>
      <w:r>
        <w:rPr>
          <w:rFonts w:ascii="Times New Roman"/>
        </w:rPr>
        <w:t>Dear</w:t>
      </w:r>
      <w:r>
        <w:rPr>
          <w:rFonts w:ascii="Times New Roman"/>
          <w:spacing w:val="-5"/>
        </w:rPr>
        <w:t xml:space="preserve"> </w:t>
      </w:r>
      <w:proofErr w:type="spellStart"/>
      <w:r>
        <w:rPr>
          <w:rFonts w:ascii="Times New Roman"/>
        </w:rPr>
        <w:t>Mrs</w:t>
      </w:r>
      <w:proofErr w:type="spellEnd"/>
      <w:r>
        <w:rPr>
          <w:rFonts w:ascii="Times New Roman"/>
          <w:spacing w:val="-2"/>
        </w:rPr>
        <w:t xml:space="preserve"> </w:t>
      </w:r>
      <w:r>
        <w:rPr>
          <w:rFonts w:ascii="Times New Roman"/>
        </w:rPr>
        <w:t>Feuerstein and</w:t>
      </w:r>
      <w:r>
        <w:rPr>
          <w:rFonts w:ascii="Times New Roman"/>
          <w:spacing w:val="3"/>
        </w:rPr>
        <w:t xml:space="preserve"> </w:t>
      </w:r>
      <w:proofErr w:type="spellStart"/>
      <w:r>
        <w:rPr>
          <w:rFonts w:ascii="Times New Roman"/>
        </w:rPr>
        <w:t>Mrs</w:t>
      </w:r>
      <w:proofErr w:type="spellEnd"/>
      <w:r>
        <w:rPr>
          <w:rFonts w:ascii="Times New Roman"/>
          <w:spacing w:val="-2"/>
        </w:rPr>
        <w:t xml:space="preserve"> </w:t>
      </w:r>
      <w:r>
        <w:rPr>
          <w:rFonts w:ascii="Times New Roman"/>
        </w:rPr>
        <w:t>Bulic</w:t>
      </w:r>
      <w:r>
        <w:rPr>
          <w:rFonts w:ascii="Times New Roman"/>
          <w:spacing w:val="-3"/>
        </w:rPr>
        <w:t xml:space="preserve"> </w:t>
      </w:r>
      <w:r>
        <w:rPr>
          <w:rFonts w:ascii="Times New Roman"/>
          <w:spacing w:val="-2"/>
        </w:rPr>
        <w:t>Cojocariu,</w:t>
      </w:r>
    </w:p>
    <w:p w14:paraId="3226292B" w14:textId="77777777" w:rsidR="00161C10" w:rsidRDefault="00161C10">
      <w:pPr>
        <w:pStyle w:val="BodyText"/>
        <w:spacing w:before="204"/>
        <w:rPr>
          <w:rFonts w:ascii="Times New Roman"/>
        </w:rPr>
      </w:pPr>
    </w:p>
    <w:p w14:paraId="7D062119" w14:textId="77777777" w:rsidR="00161C10" w:rsidRDefault="00CE2C8C">
      <w:pPr>
        <w:pStyle w:val="BodyText"/>
        <w:spacing w:before="1"/>
        <w:ind w:left="504" w:right="1341"/>
        <w:jc w:val="both"/>
        <w:rPr>
          <w:rFonts w:ascii="Times New Roman" w:hAnsi="Times New Roman"/>
        </w:rPr>
      </w:pPr>
      <w:r>
        <w:rPr>
          <w:rFonts w:ascii="Times New Roman" w:hAnsi="Times New Roman"/>
        </w:rPr>
        <w:t xml:space="preserve">I refer to your letter of 2.11.2022 which has been registered as a complaint under reference number </w:t>
      </w:r>
      <w:proofErr w:type="gramStart"/>
      <w:r>
        <w:rPr>
          <w:rFonts w:ascii="Times New Roman" w:hAnsi="Times New Roman"/>
        </w:rPr>
        <w:t>CHAP(</w:t>
      </w:r>
      <w:proofErr w:type="gramEnd"/>
      <w:r>
        <w:rPr>
          <w:rFonts w:ascii="Times New Roman" w:hAnsi="Times New Roman"/>
        </w:rPr>
        <w:t>2022)03039.</w:t>
      </w:r>
      <w:r>
        <w:rPr>
          <w:rFonts w:ascii="Times New Roman" w:hAnsi="Times New Roman"/>
          <w:spacing w:val="37"/>
        </w:rPr>
        <w:t xml:space="preserve"> </w:t>
      </w:r>
      <w:r>
        <w:rPr>
          <w:rFonts w:ascii="Times New Roman" w:hAnsi="Times New Roman"/>
        </w:rPr>
        <w:t xml:space="preserve">Your complaint concerns a residential facility for children with disabilities in Carinthia, a project cofinanced under the Austrian Development </w:t>
      </w:r>
      <w:proofErr w:type="spellStart"/>
      <w:r>
        <w:rPr>
          <w:rFonts w:ascii="Times New Roman" w:hAnsi="Times New Roman"/>
        </w:rPr>
        <w:t>Programme</w:t>
      </w:r>
      <w:proofErr w:type="spellEnd"/>
      <w:r>
        <w:rPr>
          <w:rFonts w:ascii="Times New Roman" w:hAnsi="Times New Roman"/>
        </w:rPr>
        <w:t xml:space="preserve"> 2014-2020 (‘RDP’) which according to your allegations perpetuate segregation and social exclusion of those persons.</w:t>
      </w:r>
    </w:p>
    <w:p w14:paraId="6F30AB0C" w14:textId="77777777" w:rsidR="00161C10" w:rsidRDefault="00161C10">
      <w:pPr>
        <w:pStyle w:val="BodyText"/>
        <w:spacing w:before="2"/>
        <w:rPr>
          <w:rFonts w:ascii="Times New Roman"/>
        </w:rPr>
      </w:pPr>
    </w:p>
    <w:p w14:paraId="391EEC03" w14:textId="77777777" w:rsidR="00161C10" w:rsidRPr="00CE2C8C" w:rsidRDefault="00CE2C8C" w:rsidP="00CE2C8C">
      <w:pPr>
        <w:ind w:left="504"/>
        <w:rPr>
          <w:rFonts w:ascii="Times New Roman" w:hAnsi="Times New Roman" w:cs="Times New Roman"/>
          <w:b/>
          <w:bCs/>
          <w:sz w:val="24"/>
          <w:szCs w:val="24"/>
        </w:rPr>
      </w:pPr>
      <w:r w:rsidRPr="00CE2C8C">
        <w:rPr>
          <w:rFonts w:ascii="Times New Roman" w:hAnsi="Times New Roman" w:cs="Times New Roman"/>
          <w:b/>
          <w:bCs/>
          <w:sz w:val="24"/>
          <w:szCs w:val="24"/>
        </w:rPr>
        <w:t>Subject</w:t>
      </w:r>
      <w:r w:rsidRPr="00CE2C8C">
        <w:rPr>
          <w:rFonts w:ascii="Times New Roman" w:hAnsi="Times New Roman" w:cs="Times New Roman"/>
          <w:b/>
          <w:bCs/>
          <w:spacing w:val="-2"/>
          <w:sz w:val="24"/>
          <w:szCs w:val="24"/>
        </w:rPr>
        <w:t xml:space="preserve"> </w:t>
      </w:r>
      <w:r w:rsidRPr="00CE2C8C">
        <w:rPr>
          <w:rFonts w:ascii="Times New Roman" w:hAnsi="Times New Roman" w:cs="Times New Roman"/>
          <w:b/>
          <w:bCs/>
          <w:sz w:val="24"/>
          <w:szCs w:val="24"/>
        </w:rPr>
        <w:t>of</w:t>
      </w:r>
      <w:r w:rsidRPr="00CE2C8C">
        <w:rPr>
          <w:rFonts w:ascii="Times New Roman" w:hAnsi="Times New Roman" w:cs="Times New Roman"/>
          <w:b/>
          <w:bCs/>
          <w:spacing w:val="-2"/>
          <w:sz w:val="24"/>
          <w:szCs w:val="24"/>
        </w:rPr>
        <w:t xml:space="preserve"> </w:t>
      </w:r>
      <w:r w:rsidRPr="00CE2C8C">
        <w:rPr>
          <w:rFonts w:ascii="Times New Roman" w:hAnsi="Times New Roman" w:cs="Times New Roman"/>
          <w:b/>
          <w:bCs/>
          <w:sz w:val="24"/>
          <w:szCs w:val="24"/>
        </w:rPr>
        <w:t>the</w:t>
      </w:r>
      <w:r w:rsidRPr="00CE2C8C">
        <w:rPr>
          <w:rFonts w:ascii="Times New Roman" w:hAnsi="Times New Roman" w:cs="Times New Roman"/>
          <w:b/>
          <w:bCs/>
          <w:spacing w:val="-2"/>
          <w:sz w:val="24"/>
          <w:szCs w:val="24"/>
        </w:rPr>
        <w:t xml:space="preserve"> complaint</w:t>
      </w:r>
    </w:p>
    <w:p w14:paraId="72510448" w14:textId="77777777" w:rsidR="00161C10" w:rsidRDefault="00161C10">
      <w:pPr>
        <w:pStyle w:val="BodyText"/>
        <w:spacing w:before="2"/>
        <w:rPr>
          <w:rFonts w:ascii="Times New Roman"/>
          <w:b/>
        </w:rPr>
      </w:pPr>
    </w:p>
    <w:p w14:paraId="73CC4FAB" w14:textId="7A2AB369" w:rsidR="00161C10" w:rsidRPr="005B2E9B" w:rsidRDefault="00CE2C8C" w:rsidP="005B2E9B">
      <w:pPr>
        <w:pStyle w:val="BodyText"/>
        <w:spacing w:line="237" w:lineRule="auto"/>
        <w:ind w:left="504" w:right="1340"/>
        <w:jc w:val="both"/>
        <w:rPr>
          <w:rFonts w:ascii="Times New Roman"/>
        </w:rPr>
      </w:pPr>
      <w:r>
        <w:rPr>
          <w:rFonts w:ascii="Times New Roman" w:hAnsi="Times New Roman"/>
        </w:rPr>
        <w:t>You allege that the approved project breaches Article 26 on integration of persons with disabilities and Article 21 on non-discrimination of the Charter of Fundamental Rights of the European Union (‘the Charter’). You consider also that the project at stake breaches the</w:t>
      </w:r>
      <w:r>
        <w:rPr>
          <w:rFonts w:ascii="Times New Roman" w:hAnsi="Times New Roman"/>
          <w:spacing w:val="80"/>
        </w:rPr>
        <w:t xml:space="preserve"> </w:t>
      </w:r>
      <w:r>
        <w:rPr>
          <w:rFonts w:ascii="Times New Roman" w:hAnsi="Times New Roman"/>
        </w:rPr>
        <w:t>United</w:t>
      </w:r>
      <w:r>
        <w:rPr>
          <w:rFonts w:ascii="Times New Roman" w:hAnsi="Times New Roman"/>
          <w:spacing w:val="80"/>
        </w:rPr>
        <w:t xml:space="preserve"> </w:t>
      </w:r>
      <w:r>
        <w:rPr>
          <w:rFonts w:ascii="Times New Roman" w:hAnsi="Times New Roman"/>
        </w:rPr>
        <w:t>Nations</w:t>
      </w:r>
      <w:r>
        <w:rPr>
          <w:rFonts w:ascii="Times New Roman" w:hAnsi="Times New Roman"/>
          <w:spacing w:val="80"/>
        </w:rPr>
        <w:t xml:space="preserve"> </w:t>
      </w:r>
      <w:r>
        <w:rPr>
          <w:rFonts w:ascii="Times New Roman" w:hAnsi="Times New Roman"/>
        </w:rPr>
        <w:t>Convention</w:t>
      </w:r>
      <w:r>
        <w:rPr>
          <w:rFonts w:ascii="Times New Roman" w:hAnsi="Times New Roman"/>
          <w:spacing w:val="80"/>
        </w:rPr>
        <w:t xml:space="preserve"> </w:t>
      </w:r>
      <w:r>
        <w:rPr>
          <w:rFonts w:ascii="Times New Roman" w:hAnsi="Times New Roman"/>
        </w:rPr>
        <w:t>on</w:t>
      </w:r>
      <w:r>
        <w:rPr>
          <w:rFonts w:ascii="Times New Roman" w:hAnsi="Times New Roman"/>
          <w:spacing w:val="80"/>
        </w:rPr>
        <w:t xml:space="preserve"> </w:t>
      </w:r>
      <w:r>
        <w:rPr>
          <w:rFonts w:ascii="Times New Roman" w:hAnsi="Times New Roman"/>
        </w:rPr>
        <w:t>the</w:t>
      </w:r>
      <w:r>
        <w:rPr>
          <w:rFonts w:ascii="Times New Roman" w:hAnsi="Times New Roman"/>
          <w:spacing w:val="80"/>
        </w:rPr>
        <w:t xml:space="preserve"> </w:t>
      </w:r>
      <w:r>
        <w:rPr>
          <w:rFonts w:ascii="Times New Roman" w:hAnsi="Times New Roman"/>
        </w:rPr>
        <w:t>Rights</w:t>
      </w:r>
      <w:r>
        <w:rPr>
          <w:rFonts w:ascii="Times New Roman" w:hAnsi="Times New Roman"/>
          <w:spacing w:val="80"/>
        </w:rPr>
        <w:t xml:space="preserve"> </w:t>
      </w:r>
      <w:r>
        <w:rPr>
          <w:rFonts w:ascii="Times New Roman" w:hAnsi="Times New Roman"/>
        </w:rPr>
        <w:t>of</w:t>
      </w:r>
      <w:r>
        <w:rPr>
          <w:rFonts w:ascii="Times New Roman" w:hAnsi="Times New Roman"/>
          <w:spacing w:val="80"/>
        </w:rPr>
        <w:t xml:space="preserve"> </w:t>
      </w:r>
      <w:r>
        <w:rPr>
          <w:rFonts w:ascii="Times New Roman" w:hAnsi="Times New Roman"/>
        </w:rPr>
        <w:t>Persons</w:t>
      </w:r>
      <w:r>
        <w:rPr>
          <w:rFonts w:ascii="Times New Roman" w:hAnsi="Times New Roman"/>
          <w:spacing w:val="80"/>
        </w:rPr>
        <w:t xml:space="preserve"> </w:t>
      </w:r>
      <w:r>
        <w:rPr>
          <w:rFonts w:ascii="Times New Roman" w:hAnsi="Times New Roman"/>
        </w:rPr>
        <w:t>with</w:t>
      </w:r>
      <w:r>
        <w:rPr>
          <w:rFonts w:ascii="Times New Roman" w:hAnsi="Times New Roman"/>
          <w:spacing w:val="80"/>
        </w:rPr>
        <w:t xml:space="preserve"> </w:t>
      </w:r>
      <w:r>
        <w:rPr>
          <w:rFonts w:ascii="Times New Roman" w:hAnsi="Times New Roman"/>
        </w:rPr>
        <w:t>Disabilities</w:t>
      </w:r>
      <w:r>
        <w:rPr>
          <w:rFonts w:ascii="Times New Roman" w:hAnsi="Times New Roman"/>
          <w:spacing w:val="80"/>
        </w:rPr>
        <w:t xml:space="preserve"> </w:t>
      </w:r>
      <w:r>
        <w:rPr>
          <w:rFonts w:ascii="Times New Roman" w:hAnsi="Times New Roman"/>
        </w:rPr>
        <w:t>(‘the</w:t>
      </w:r>
      <w:r>
        <w:rPr>
          <w:rFonts w:ascii="Times New Roman"/>
          <w:noProof/>
          <w:sz w:val="20"/>
        </w:rPr>
        <mc:AlternateContent>
          <mc:Choice Requires="wps">
            <w:drawing>
              <wp:anchor distT="0" distB="0" distL="0" distR="0" simplePos="0" relativeHeight="251660288" behindDoc="1" locked="0" layoutInCell="1" allowOverlap="1" wp14:anchorId="3F210B9F" wp14:editId="71C7A7E1">
                <wp:simplePos x="0" y="0"/>
                <wp:positionH relativeFrom="page">
                  <wp:posOffset>1007110</wp:posOffset>
                </wp:positionH>
                <wp:positionV relativeFrom="paragraph">
                  <wp:posOffset>167510</wp:posOffset>
                </wp:positionV>
                <wp:extent cx="1829435" cy="762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8"/>
                              </a:lnTo>
                              <a:lnTo>
                                <a:pt x="1829053" y="7618"/>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00A7D5" id="Graphic 62" o:spid="_x0000_s1026" style="position:absolute;margin-left:79.3pt;margin-top:13.2pt;width:144.0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" path="m1829053,l,,,7618r1829053,l1829053,xe" fillcolor="black" stroked="f">
                <v:path arrowok="t"/>
                <w10:wrap type="topAndBottom" anchorx="page"/>
              </v:shape>
            </w:pict>
          </mc:Fallback>
        </mc:AlternateContent>
      </w:r>
      <w:r w:rsidR="005B2E9B">
        <w:rPr>
          <w:rFonts w:ascii="Times New Roman" w:hAnsi="Times New Roman"/>
        </w:rPr>
        <w:t xml:space="preserve"> </w:t>
      </w:r>
      <w:r>
        <w:rPr>
          <w:rFonts w:ascii="Times New Roman" w:hAnsi="Times New Roman"/>
        </w:rPr>
        <w:t>UNCRPD’) , in particular Article 19 on living independently and being included in the community and Article 24 on the right of persons with disabilities to education, as well</w:t>
      </w:r>
      <w:r>
        <w:rPr>
          <w:rFonts w:ascii="Times New Roman" w:hAnsi="Times New Roman"/>
          <w:spacing w:val="80"/>
        </w:rPr>
        <w:t xml:space="preserve"> </w:t>
      </w:r>
      <w:r>
        <w:rPr>
          <w:rFonts w:ascii="Times New Roman" w:hAnsi="Times New Roman"/>
        </w:rPr>
        <w:t>as the Convention on the Rights of the Child (CRC), in particular Article 2 prohibiting discrimination based on disability.</w:t>
      </w:r>
    </w:p>
    <w:p w14:paraId="00195101" w14:textId="77777777" w:rsidR="00161C10" w:rsidRDefault="00161C10">
      <w:pPr>
        <w:pStyle w:val="BodyText"/>
        <w:spacing w:before="273"/>
        <w:rPr>
          <w:rFonts w:ascii="Times New Roman"/>
        </w:rPr>
      </w:pPr>
    </w:p>
    <w:p w14:paraId="66454CD5" w14:textId="77777777" w:rsidR="00161C10" w:rsidRDefault="00CE2C8C">
      <w:pPr>
        <w:pStyle w:val="BodyText"/>
        <w:spacing w:line="237" w:lineRule="auto"/>
        <w:ind w:left="504" w:right="1337"/>
        <w:jc w:val="both"/>
        <w:rPr>
          <w:rFonts w:ascii="Times New Roman"/>
        </w:rPr>
      </w:pPr>
      <w:r>
        <w:rPr>
          <w:rFonts w:ascii="Times New Roman"/>
        </w:rPr>
        <w:t>You also refer to</w:t>
      </w:r>
      <w:r>
        <w:rPr>
          <w:rFonts w:ascii="Times New Roman"/>
          <w:spacing w:val="35"/>
        </w:rPr>
        <w:t xml:space="preserve"> </w:t>
      </w:r>
      <w:r>
        <w:rPr>
          <w:rFonts w:ascii="Times New Roman"/>
        </w:rPr>
        <w:t>the General Comment No 5</w:t>
      </w:r>
      <w:r>
        <w:rPr>
          <w:rFonts w:ascii="Times New Roman"/>
          <w:spacing w:val="-2"/>
        </w:rPr>
        <w:t xml:space="preserve"> </w:t>
      </w:r>
      <w:r>
        <w:rPr>
          <w:rFonts w:ascii="Times New Roman"/>
        </w:rPr>
        <w:t>on</w:t>
      </w:r>
      <w:r>
        <w:rPr>
          <w:rFonts w:ascii="Times New Roman"/>
          <w:spacing w:val="-3"/>
        </w:rPr>
        <w:t xml:space="preserve"> </w:t>
      </w:r>
      <w:r>
        <w:rPr>
          <w:rFonts w:ascii="Times New Roman"/>
        </w:rPr>
        <w:t>living</w:t>
      </w:r>
      <w:r>
        <w:rPr>
          <w:rFonts w:ascii="Times New Roman"/>
          <w:spacing w:val="-1"/>
        </w:rPr>
        <w:t xml:space="preserve"> </w:t>
      </w:r>
      <w:r>
        <w:rPr>
          <w:rFonts w:ascii="Times New Roman"/>
        </w:rPr>
        <w:t>independently</w:t>
      </w:r>
      <w:r>
        <w:rPr>
          <w:rFonts w:ascii="Times New Roman"/>
          <w:spacing w:val="-1"/>
        </w:rPr>
        <w:t xml:space="preserve"> </w:t>
      </w:r>
      <w:r>
        <w:rPr>
          <w:rFonts w:ascii="Times New Roman"/>
        </w:rPr>
        <w:t>and being</w:t>
      </w:r>
      <w:r>
        <w:rPr>
          <w:rFonts w:ascii="Times New Roman"/>
          <w:spacing w:val="-2"/>
        </w:rPr>
        <w:t xml:space="preserve"> </w:t>
      </w:r>
      <w:r>
        <w:rPr>
          <w:rFonts w:ascii="Times New Roman"/>
        </w:rPr>
        <w:t>included in the community, adopted by the UN Committee on the Rights of Persons with Disabilities on 31 August 2017 and to the General Comment No 4 of the UNCRPD on</w:t>
      </w:r>
      <w:r>
        <w:rPr>
          <w:rFonts w:ascii="Times New Roman"/>
          <w:spacing w:val="40"/>
        </w:rPr>
        <w:t xml:space="preserve"> </w:t>
      </w:r>
      <w:r>
        <w:rPr>
          <w:rFonts w:ascii="Times New Roman"/>
        </w:rPr>
        <w:t>the right to inclusive education.</w:t>
      </w:r>
    </w:p>
    <w:p w14:paraId="0BA16D70" w14:textId="77777777" w:rsidR="00161C10" w:rsidRDefault="00CE2C8C">
      <w:pPr>
        <w:pStyle w:val="BodyText"/>
        <w:spacing w:before="119" w:line="237" w:lineRule="auto"/>
        <w:ind w:left="504" w:right="1343"/>
        <w:jc w:val="both"/>
        <w:rPr>
          <w:rFonts w:ascii="Times New Roman" w:hAnsi="Times New Roman"/>
        </w:rPr>
      </w:pPr>
      <w:r>
        <w:rPr>
          <w:rFonts w:ascii="Times New Roman" w:hAnsi="Times New Roman"/>
        </w:rPr>
        <w:t>You consider also that the project breaches Regulation (EU) No 1303/2013 (‘the CPR’) laying down common provisions on the European Structural and Investment Funds (ESI Funds) (</w:t>
      </w:r>
      <w:r>
        <w:rPr>
          <w:rFonts w:ascii="Times New Roman" w:hAnsi="Times New Roman"/>
          <w:vertAlign w:val="superscript"/>
        </w:rPr>
        <w:t>1</w:t>
      </w:r>
      <w:r>
        <w:rPr>
          <w:rFonts w:ascii="Times New Roman" w:hAnsi="Times New Roman"/>
        </w:rPr>
        <w:t>), in particular Articles 4 on implementation of the budget allocated to ESI Funds under shared management, Article 6 on compliance of operations supported under ESI Funds with EU and national law and Article 7 on non-discrimination.</w:t>
      </w:r>
    </w:p>
    <w:p w14:paraId="4AF00B92" w14:textId="77777777" w:rsidR="00161C10" w:rsidRDefault="00161C10">
      <w:pPr>
        <w:pStyle w:val="BodyText"/>
        <w:spacing w:before="94"/>
        <w:rPr>
          <w:rFonts w:ascii="Times New Roman"/>
        </w:rPr>
      </w:pPr>
    </w:p>
    <w:p w14:paraId="75F8CE7B" w14:textId="77777777" w:rsidR="00161C10" w:rsidRPr="00CE2C8C" w:rsidRDefault="00CE2C8C" w:rsidP="00CE2C8C">
      <w:pPr>
        <w:ind w:left="504"/>
        <w:rPr>
          <w:rFonts w:ascii="Times New Roman" w:hAnsi="Times New Roman" w:cs="Times New Roman"/>
          <w:b/>
          <w:bCs/>
          <w:sz w:val="24"/>
          <w:szCs w:val="24"/>
        </w:rPr>
      </w:pPr>
      <w:r w:rsidRPr="00CE2C8C">
        <w:rPr>
          <w:rFonts w:ascii="Times New Roman" w:hAnsi="Times New Roman" w:cs="Times New Roman"/>
          <w:b/>
          <w:bCs/>
          <w:sz w:val="24"/>
          <w:szCs w:val="24"/>
        </w:rPr>
        <w:t>Analysis</w:t>
      </w:r>
      <w:r w:rsidRPr="00CE2C8C">
        <w:rPr>
          <w:rFonts w:ascii="Times New Roman" w:hAnsi="Times New Roman" w:cs="Times New Roman"/>
          <w:b/>
          <w:bCs/>
          <w:spacing w:val="-3"/>
          <w:sz w:val="24"/>
          <w:szCs w:val="24"/>
        </w:rPr>
        <w:t xml:space="preserve"> </w:t>
      </w:r>
      <w:r w:rsidRPr="00CE2C8C">
        <w:rPr>
          <w:rFonts w:ascii="Times New Roman" w:hAnsi="Times New Roman" w:cs="Times New Roman"/>
          <w:b/>
          <w:bCs/>
          <w:sz w:val="24"/>
          <w:szCs w:val="24"/>
        </w:rPr>
        <w:t>of</w:t>
      </w:r>
      <w:r w:rsidRPr="00CE2C8C">
        <w:rPr>
          <w:rFonts w:ascii="Times New Roman" w:hAnsi="Times New Roman" w:cs="Times New Roman"/>
          <w:b/>
          <w:bCs/>
          <w:spacing w:val="-1"/>
          <w:sz w:val="24"/>
          <w:szCs w:val="24"/>
        </w:rPr>
        <w:t xml:space="preserve"> </w:t>
      </w:r>
      <w:r w:rsidRPr="00CE2C8C">
        <w:rPr>
          <w:rFonts w:ascii="Times New Roman" w:hAnsi="Times New Roman" w:cs="Times New Roman"/>
          <w:b/>
          <w:bCs/>
          <w:sz w:val="24"/>
          <w:szCs w:val="24"/>
        </w:rPr>
        <w:t>the</w:t>
      </w:r>
      <w:r w:rsidRPr="00CE2C8C">
        <w:rPr>
          <w:rFonts w:ascii="Times New Roman" w:hAnsi="Times New Roman" w:cs="Times New Roman"/>
          <w:b/>
          <w:bCs/>
          <w:spacing w:val="-4"/>
          <w:sz w:val="24"/>
          <w:szCs w:val="24"/>
        </w:rPr>
        <w:t xml:space="preserve"> </w:t>
      </w:r>
      <w:r w:rsidRPr="00CE2C8C">
        <w:rPr>
          <w:rFonts w:ascii="Times New Roman" w:hAnsi="Times New Roman" w:cs="Times New Roman"/>
          <w:b/>
          <w:bCs/>
          <w:spacing w:val="-2"/>
          <w:sz w:val="24"/>
          <w:szCs w:val="24"/>
        </w:rPr>
        <w:t>complaint</w:t>
      </w:r>
    </w:p>
    <w:p w14:paraId="65163AD8" w14:textId="77777777" w:rsidR="00161C10" w:rsidRDefault="00161C10">
      <w:pPr>
        <w:pStyle w:val="BodyText"/>
        <w:spacing w:before="146"/>
        <w:rPr>
          <w:rFonts w:ascii="Times New Roman"/>
          <w:b/>
        </w:rPr>
      </w:pPr>
    </w:p>
    <w:p w14:paraId="20DC5B8B" w14:textId="77777777" w:rsidR="00161C10" w:rsidRDefault="00CE2C8C">
      <w:pPr>
        <w:pStyle w:val="BodyText"/>
        <w:spacing w:line="237" w:lineRule="auto"/>
        <w:ind w:left="504" w:right="1334"/>
        <w:jc w:val="both"/>
        <w:rPr>
          <w:rFonts w:ascii="Times New Roman" w:hAnsi="Times New Roman"/>
        </w:rPr>
      </w:pPr>
      <w:r>
        <w:rPr>
          <w:rFonts w:ascii="Times New Roman" w:hAnsi="Times New Roman"/>
        </w:rPr>
        <w:t>In general, it should</w:t>
      </w:r>
      <w:r>
        <w:rPr>
          <w:rFonts w:ascii="Times New Roman" w:hAnsi="Times New Roman"/>
          <w:spacing w:val="39"/>
        </w:rPr>
        <w:t xml:space="preserve"> </w:t>
      </w:r>
      <w:r>
        <w:rPr>
          <w:rFonts w:ascii="Times New Roman" w:hAnsi="Times New Roman"/>
        </w:rPr>
        <w:t>be stressed that in the Commission’s view, promoting the transition from institutional to community-based services might require in some cases transitory solutions aiming at securing healthy and secure living conditions all along this process without undermining the overall aim of Article 19 UNCRPD, as long as a transition process from institutional to community-based care has been put in place.</w:t>
      </w:r>
    </w:p>
    <w:p w14:paraId="40B0ACA0" w14:textId="77777777" w:rsidR="00161C10" w:rsidRDefault="00CE2C8C">
      <w:pPr>
        <w:pStyle w:val="BodyText"/>
        <w:spacing w:before="120" w:line="242" w:lineRule="auto"/>
        <w:ind w:left="504" w:right="1338"/>
        <w:jc w:val="both"/>
        <w:rPr>
          <w:rFonts w:ascii="Times New Roman" w:hAnsi="Times New Roman"/>
        </w:rPr>
      </w:pPr>
      <w:r>
        <w:rPr>
          <w:rFonts w:ascii="Times New Roman" w:hAnsi="Times New Roman"/>
        </w:rPr>
        <w:t>As regards your grievances regarding to the specific breaches of the EU and Austria’s obligations under the UNCRPD and the Charter as well as of the provisions of the CPR, please note that</w:t>
      </w:r>
      <w:r>
        <w:rPr>
          <w:rFonts w:ascii="Times New Roman" w:hAnsi="Times New Roman"/>
          <w:spacing w:val="37"/>
        </w:rPr>
        <w:t xml:space="preserve"> </w:t>
      </w:r>
      <w:r>
        <w:rPr>
          <w:rFonts w:ascii="Times New Roman" w:hAnsi="Times New Roman"/>
        </w:rPr>
        <w:t xml:space="preserve">under the Treaties on which the European Union is based, the European Commission has no general powers to intervene with the Member States </w:t>
      </w:r>
      <w:proofErr w:type="gramStart"/>
      <w:r>
        <w:rPr>
          <w:rFonts w:ascii="Times New Roman" w:hAnsi="Times New Roman"/>
        </w:rPr>
        <w:t>in the area of</w:t>
      </w:r>
      <w:proofErr w:type="gramEnd"/>
      <w:r>
        <w:rPr>
          <w:rFonts w:ascii="Times New Roman" w:hAnsi="Times New Roman"/>
        </w:rPr>
        <w:t xml:space="preserve"> fundamental rights. It can only do so if an issue of European Union law is involved. This is reflected in the scope of application of the Charter, which, according to its Article 51(1), applies to Member States only when they are implementing Union law.</w:t>
      </w:r>
    </w:p>
    <w:p w14:paraId="54DB5AC1" w14:textId="77777777" w:rsidR="00161C10" w:rsidRDefault="00CE2C8C">
      <w:pPr>
        <w:pStyle w:val="BodyText"/>
        <w:spacing w:before="120" w:line="237" w:lineRule="auto"/>
        <w:ind w:left="504" w:right="1333"/>
        <w:jc w:val="both"/>
        <w:rPr>
          <w:rFonts w:ascii="Times New Roman" w:hAnsi="Times New Roman"/>
        </w:rPr>
      </w:pPr>
      <w:r>
        <w:rPr>
          <w:rFonts w:ascii="Times New Roman" w:hAnsi="Times New Roman"/>
        </w:rPr>
        <w:t>In accordance with the current ESI funds legislative framework and Regulation (EU) No 1305/2013 (‘the Rural Development Regulation’) (</w:t>
      </w:r>
      <w:r>
        <w:rPr>
          <w:rFonts w:ascii="Times New Roman" w:hAnsi="Times New Roman"/>
          <w:vertAlign w:val="superscript"/>
        </w:rPr>
        <w:t>2</w:t>
      </w:r>
      <w:r>
        <w:rPr>
          <w:rFonts w:ascii="Times New Roman" w:hAnsi="Times New Roman"/>
        </w:rPr>
        <w:t>) and under the principle of shared management,</w:t>
      </w:r>
      <w:r>
        <w:rPr>
          <w:rFonts w:ascii="Times New Roman" w:hAnsi="Times New Roman"/>
          <w:spacing w:val="-1"/>
        </w:rPr>
        <w:t xml:space="preserve"> </w:t>
      </w:r>
      <w:r>
        <w:rPr>
          <w:rFonts w:ascii="Times New Roman" w:hAnsi="Times New Roman"/>
        </w:rPr>
        <w:t>Member</w:t>
      </w:r>
      <w:r>
        <w:rPr>
          <w:rFonts w:ascii="Times New Roman" w:hAnsi="Times New Roman"/>
          <w:spacing w:val="-1"/>
        </w:rPr>
        <w:t xml:space="preserve"> </w:t>
      </w:r>
      <w:r>
        <w:rPr>
          <w:rFonts w:ascii="Times New Roman" w:hAnsi="Times New Roman"/>
        </w:rPr>
        <w:t>States</w:t>
      </w:r>
      <w:r>
        <w:rPr>
          <w:rFonts w:ascii="Times New Roman" w:hAnsi="Times New Roman"/>
          <w:spacing w:val="-1"/>
        </w:rPr>
        <w:t xml:space="preserve"> </w:t>
      </w:r>
      <w:r>
        <w:rPr>
          <w:rFonts w:ascii="Times New Roman" w:hAnsi="Times New Roman"/>
        </w:rPr>
        <w:t>are</w:t>
      </w:r>
      <w:r>
        <w:rPr>
          <w:rFonts w:ascii="Times New Roman" w:hAnsi="Times New Roman"/>
          <w:spacing w:val="-2"/>
        </w:rPr>
        <w:t xml:space="preserve"> </w:t>
      </w:r>
      <w:r>
        <w:rPr>
          <w:rFonts w:ascii="Times New Roman" w:hAnsi="Times New Roman"/>
        </w:rPr>
        <w:t>generally</w:t>
      </w:r>
      <w:r>
        <w:rPr>
          <w:rFonts w:ascii="Times New Roman" w:hAnsi="Times New Roman"/>
          <w:spacing w:val="-2"/>
        </w:rPr>
        <w:t xml:space="preserve"> </w:t>
      </w:r>
      <w:r>
        <w:rPr>
          <w:rFonts w:ascii="Times New Roman" w:hAnsi="Times New Roman"/>
        </w:rPr>
        <w:t>responsible</w:t>
      </w:r>
      <w:r>
        <w:rPr>
          <w:rFonts w:ascii="Times New Roman" w:hAnsi="Times New Roman"/>
          <w:spacing w:val="-1"/>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 xml:space="preserve">the design and implementation of national dedicated strategies and operational </w:t>
      </w:r>
      <w:proofErr w:type="spellStart"/>
      <w:r>
        <w:rPr>
          <w:rFonts w:ascii="Times New Roman" w:hAnsi="Times New Roman"/>
        </w:rPr>
        <w:t>programmes</w:t>
      </w:r>
      <w:proofErr w:type="spellEnd"/>
      <w:r>
        <w:rPr>
          <w:rFonts w:ascii="Times New Roman" w:hAnsi="Times New Roman"/>
        </w:rPr>
        <w:t xml:space="preserve"> (in the present case the Austrian RDP). In particular, the selection of operations to be funded by EAFRD falls under the</w:t>
      </w:r>
      <w:r>
        <w:rPr>
          <w:rFonts w:ascii="Times New Roman" w:hAnsi="Times New Roman"/>
          <w:spacing w:val="-3"/>
        </w:rPr>
        <w:t xml:space="preserve"> </w:t>
      </w:r>
      <w:r>
        <w:rPr>
          <w:rFonts w:ascii="Times New Roman" w:hAnsi="Times New Roman"/>
        </w:rPr>
        <w:t>competence of Member</w:t>
      </w:r>
      <w:r>
        <w:rPr>
          <w:rFonts w:ascii="Times New Roman" w:hAnsi="Times New Roman"/>
          <w:spacing w:val="-3"/>
        </w:rPr>
        <w:t xml:space="preserve"> </w:t>
      </w:r>
      <w:r>
        <w:rPr>
          <w:rFonts w:ascii="Times New Roman" w:hAnsi="Times New Roman"/>
        </w:rPr>
        <w:t>States, therefore, this is not in the Commission’s remit.</w:t>
      </w:r>
    </w:p>
    <w:p w14:paraId="7E3575C7" w14:textId="77777777" w:rsidR="00161C10" w:rsidRDefault="00CE2C8C">
      <w:pPr>
        <w:pStyle w:val="BodyText"/>
        <w:spacing w:before="121" w:line="237" w:lineRule="auto"/>
        <w:ind w:left="504" w:right="1336"/>
        <w:jc w:val="both"/>
        <w:rPr>
          <w:rFonts w:ascii="Times New Roman"/>
        </w:rPr>
      </w:pPr>
      <w:r>
        <w:rPr>
          <w:rFonts w:ascii="Times New Roman"/>
        </w:rPr>
        <w:t xml:space="preserve">Supporting the facilities in question through the RDP however involves implementing Union law since the Member State in question, as indicated, had to draw up the rural development </w:t>
      </w:r>
      <w:proofErr w:type="spellStart"/>
      <w:r>
        <w:rPr>
          <w:rFonts w:ascii="Times New Roman"/>
        </w:rPr>
        <w:t>programme</w:t>
      </w:r>
      <w:proofErr w:type="spellEnd"/>
      <w:r>
        <w:rPr>
          <w:rFonts w:ascii="Times New Roman"/>
        </w:rPr>
        <w:t xml:space="preserve"> as well as select the above-mentioned operations to be financed under</w:t>
      </w:r>
      <w:r>
        <w:rPr>
          <w:rFonts w:ascii="Times New Roman"/>
          <w:spacing w:val="-1"/>
        </w:rPr>
        <w:t xml:space="preserve"> </w:t>
      </w:r>
      <w:r>
        <w:rPr>
          <w:rFonts w:ascii="Times New Roman"/>
        </w:rPr>
        <w:t>it. Thus, it can be stated that Austria is implementing</w:t>
      </w:r>
      <w:r>
        <w:rPr>
          <w:rFonts w:ascii="Times New Roman"/>
          <w:spacing w:val="-1"/>
        </w:rPr>
        <w:t xml:space="preserve"> </w:t>
      </w:r>
      <w:r>
        <w:rPr>
          <w:rFonts w:ascii="Times New Roman"/>
        </w:rPr>
        <w:t>and acting in the</w:t>
      </w:r>
      <w:r>
        <w:rPr>
          <w:rFonts w:ascii="Times New Roman"/>
          <w:spacing w:val="-1"/>
        </w:rPr>
        <w:t xml:space="preserve"> </w:t>
      </w:r>
      <w:r>
        <w:rPr>
          <w:rFonts w:ascii="Times New Roman"/>
        </w:rPr>
        <w:t>scope</w:t>
      </w:r>
      <w:r>
        <w:rPr>
          <w:rFonts w:ascii="Times New Roman"/>
          <w:spacing w:val="-1"/>
        </w:rPr>
        <w:t xml:space="preserve"> </w:t>
      </w:r>
      <w:r>
        <w:rPr>
          <w:rFonts w:ascii="Times New Roman"/>
        </w:rPr>
        <w:t>of</w:t>
      </w:r>
      <w:r>
        <w:rPr>
          <w:rFonts w:ascii="Times New Roman"/>
          <w:spacing w:val="-1"/>
        </w:rPr>
        <w:t xml:space="preserve"> </w:t>
      </w:r>
      <w:r>
        <w:rPr>
          <w:rFonts w:ascii="Times New Roman"/>
        </w:rPr>
        <w:t xml:space="preserve">EU law. Nevertheless, -it </w:t>
      </w:r>
      <w:proofErr w:type="gramStart"/>
      <w:r>
        <w:rPr>
          <w:rFonts w:ascii="Times New Roman"/>
        </w:rPr>
        <w:t>has to</w:t>
      </w:r>
      <w:proofErr w:type="gramEnd"/>
      <w:r>
        <w:rPr>
          <w:rFonts w:ascii="Times New Roman"/>
        </w:rPr>
        <w:t xml:space="preserve"> be underlined- that the mere fact that a given infrastructure has been financed by the Union does not mean that the Member State implements Union law within the meaning of Article 51 of the Charter also with regard to the establishment using that infrastructure (</w:t>
      </w:r>
      <w:r>
        <w:rPr>
          <w:rFonts w:ascii="Times New Roman"/>
          <w:vertAlign w:val="superscript"/>
        </w:rPr>
        <w:t>3</w:t>
      </w:r>
      <w:r>
        <w:rPr>
          <w:rFonts w:ascii="Times New Roman"/>
        </w:rPr>
        <w:t>). The question whether the operation of such an establishment</w:t>
      </w:r>
    </w:p>
    <w:p w14:paraId="63F44110" w14:textId="77777777" w:rsidR="00161C10" w:rsidRDefault="00CE2C8C">
      <w:pPr>
        <w:pStyle w:val="BodyText"/>
        <w:spacing w:before="3"/>
        <w:rPr>
          <w:rFonts w:ascii="Times New Roman"/>
          <w:sz w:val="11"/>
        </w:rPr>
      </w:pPr>
      <w:r>
        <w:rPr>
          <w:rFonts w:ascii="Times New Roman"/>
          <w:noProof/>
          <w:sz w:val="11"/>
        </w:rPr>
        <mc:AlternateContent>
          <mc:Choice Requires="wps">
            <w:drawing>
              <wp:anchor distT="0" distB="0" distL="0" distR="0" simplePos="0" relativeHeight="487611392" behindDoc="1" locked="0" layoutInCell="1" allowOverlap="1" wp14:anchorId="138049C5" wp14:editId="3B9AB4C0">
                <wp:simplePos x="0" y="0"/>
                <wp:positionH relativeFrom="page">
                  <wp:posOffset>1007110</wp:posOffset>
                </wp:positionH>
                <wp:positionV relativeFrom="paragraph">
                  <wp:posOffset>97936</wp:posOffset>
                </wp:positionV>
                <wp:extent cx="1829435" cy="762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8"/>
                              </a:lnTo>
                              <a:lnTo>
                                <a:pt x="1829053" y="7618"/>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4D09D5" id="Graphic 64" o:spid="_x0000_s1026" style="position:absolute;margin-left:79.3pt;margin-top:7.7pt;width:144.05pt;height:.6pt;z-index:-157050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" path="m1829053,l,,,7618r1829053,l1829053,xe" fillcolor="black" stroked="f">
                <v:path arrowok="t"/>
                <w10:wrap type="topAndBottom" anchorx="page"/>
              </v:shape>
            </w:pict>
          </mc:Fallback>
        </mc:AlternateContent>
      </w:r>
    </w:p>
    <w:p w14:paraId="2C70E0B3" w14:textId="77777777" w:rsidR="00161C10" w:rsidRDefault="00CE2C8C">
      <w:pPr>
        <w:pStyle w:val="ListParagraph"/>
        <w:numPr>
          <w:ilvl w:val="1"/>
          <w:numId w:val="3"/>
        </w:numPr>
        <w:tabs>
          <w:tab w:val="left" w:pos="786"/>
        </w:tabs>
        <w:spacing w:before="100"/>
        <w:ind w:left="786" w:hanging="282"/>
        <w:rPr>
          <w:rFonts w:ascii="Times New Roman"/>
          <w:sz w:val="20"/>
        </w:rPr>
      </w:pPr>
      <w:r>
        <w:rPr>
          <w:rFonts w:ascii="Times New Roman"/>
          <w:sz w:val="20"/>
        </w:rPr>
        <w:t>OJ</w:t>
      </w:r>
      <w:r>
        <w:rPr>
          <w:rFonts w:ascii="Times New Roman"/>
          <w:spacing w:val="-6"/>
          <w:sz w:val="20"/>
        </w:rPr>
        <w:t xml:space="preserve"> </w:t>
      </w:r>
      <w:r>
        <w:rPr>
          <w:rFonts w:ascii="Times New Roman"/>
          <w:sz w:val="20"/>
        </w:rPr>
        <w:t>L</w:t>
      </w:r>
      <w:r>
        <w:rPr>
          <w:rFonts w:ascii="Times New Roman"/>
          <w:spacing w:val="-6"/>
          <w:sz w:val="20"/>
        </w:rPr>
        <w:t xml:space="preserve"> </w:t>
      </w:r>
      <w:r>
        <w:rPr>
          <w:rFonts w:ascii="Times New Roman"/>
          <w:sz w:val="20"/>
        </w:rPr>
        <w:t>347,</w:t>
      </w:r>
      <w:r>
        <w:rPr>
          <w:rFonts w:ascii="Times New Roman"/>
          <w:spacing w:val="-7"/>
          <w:sz w:val="20"/>
        </w:rPr>
        <w:t xml:space="preserve"> </w:t>
      </w:r>
      <w:r>
        <w:rPr>
          <w:rFonts w:ascii="Times New Roman"/>
          <w:sz w:val="20"/>
        </w:rPr>
        <w:t>20.12.2013,</w:t>
      </w:r>
      <w:r>
        <w:rPr>
          <w:rFonts w:ascii="Times New Roman"/>
          <w:spacing w:val="-6"/>
          <w:sz w:val="20"/>
        </w:rPr>
        <w:t xml:space="preserve"> </w:t>
      </w:r>
      <w:r>
        <w:rPr>
          <w:rFonts w:ascii="Times New Roman"/>
          <w:sz w:val="20"/>
        </w:rPr>
        <w:t>p.</w:t>
      </w:r>
      <w:r>
        <w:rPr>
          <w:rFonts w:ascii="Times New Roman"/>
          <w:spacing w:val="-4"/>
          <w:sz w:val="20"/>
        </w:rPr>
        <w:t xml:space="preserve"> 320.</w:t>
      </w:r>
    </w:p>
    <w:p w14:paraId="0168FD5C" w14:textId="77777777" w:rsidR="00161C10" w:rsidRDefault="00CE2C8C">
      <w:pPr>
        <w:pStyle w:val="ListParagraph"/>
        <w:numPr>
          <w:ilvl w:val="1"/>
          <w:numId w:val="3"/>
        </w:numPr>
        <w:tabs>
          <w:tab w:val="left" w:pos="830"/>
          <w:tab w:val="left" w:pos="840"/>
        </w:tabs>
        <w:spacing w:before="5"/>
        <w:ind w:left="840" w:right="1556" w:hanging="336"/>
        <w:rPr>
          <w:rFonts w:ascii="Times New Roman"/>
          <w:sz w:val="20"/>
        </w:rPr>
      </w:pPr>
      <w:r>
        <w:rPr>
          <w:rFonts w:ascii="Times New Roman"/>
          <w:sz w:val="20"/>
        </w:rPr>
        <w:t>Regulation</w:t>
      </w:r>
      <w:r>
        <w:rPr>
          <w:rFonts w:ascii="Times New Roman"/>
          <w:spacing w:val="-2"/>
          <w:sz w:val="20"/>
        </w:rPr>
        <w:t xml:space="preserve"> </w:t>
      </w:r>
      <w:r>
        <w:rPr>
          <w:rFonts w:ascii="Times New Roman"/>
          <w:sz w:val="20"/>
        </w:rPr>
        <w:t>(EU)</w:t>
      </w:r>
      <w:r>
        <w:rPr>
          <w:rFonts w:ascii="Times New Roman"/>
          <w:spacing w:val="-2"/>
          <w:sz w:val="20"/>
        </w:rPr>
        <w:t xml:space="preserve"> </w:t>
      </w:r>
      <w:r>
        <w:rPr>
          <w:rFonts w:ascii="Times New Roman"/>
          <w:sz w:val="20"/>
        </w:rPr>
        <w:t>No</w:t>
      </w:r>
      <w:r>
        <w:rPr>
          <w:rFonts w:ascii="Times New Roman"/>
          <w:spacing w:val="-4"/>
          <w:sz w:val="20"/>
        </w:rPr>
        <w:t xml:space="preserve"> </w:t>
      </w:r>
      <w:r>
        <w:rPr>
          <w:rFonts w:ascii="Times New Roman"/>
          <w:sz w:val="20"/>
        </w:rPr>
        <w:t>1305/2013</w:t>
      </w:r>
      <w:r>
        <w:rPr>
          <w:rFonts w:ascii="Times New Roman"/>
          <w:spacing w:val="-2"/>
          <w:sz w:val="20"/>
        </w:rPr>
        <w:t xml:space="preserve"> </w:t>
      </w:r>
      <w:r>
        <w:rPr>
          <w:rFonts w:ascii="Times New Roman"/>
          <w:sz w:val="20"/>
        </w:rPr>
        <w:t>of</w:t>
      </w:r>
      <w:r>
        <w:rPr>
          <w:rFonts w:ascii="Times New Roman"/>
          <w:spacing w:val="-3"/>
          <w:sz w:val="20"/>
        </w:rPr>
        <w:t xml:space="preserve"> </w:t>
      </w:r>
      <w:r>
        <w:rPr>
          <w:rFonts w:ascii="Times New Roman"/>
          <w:sz w:val="20"/>
        </w:rPr>
        <w:t>the</w:t>
      </w:r>
      <w:r>
        <w:rPr>
          <w:rFonts w:ascii="Times New Roman"/>
          <w:spacing w:val="-5"/>
          <w:sz w:val="20"/>
        </w:rPr>
        <w:t xml:space="preserve"> </w:t>
      </w:r>
      <w:r>
        <w:rPr>
          <w:rFonts w:ascii="Times New Roman"/>
          <w:sz w:val="20"/>
        </w:rPr>
        <w:t>European</w:t>
      </w:r>
      <w:r>
        <w:rPr>
          <w:rFonts w:ascii="Times New Roman"/>
          <w:spacing w:val="-2"/>
          <w:sz w:val="20"/>
        </w:rPr>
        <w:t xml:space="preserve"> </w:t>
      </w:r>
      <w:r>
        <w:rPr>
          <w:rFonts w:ascii="Times New Roman"/>
          <w:sz w:val="20"/>
        </w:rPr>
        <w:t>Parliament</w:t>
      </w:r>
      <w:r>
        <w:rPr>
          <w:rFonts w:ascii="Times New Roman"/>
          <w:spacing w:val="-6"/>
          <w:sz w:val="20"/>
        </w:rPr>
        <w:t xml:space="preserve"> </w:t>
      </w:r>
      <w:r>
        <w:rPr>
          <w:rFonts w:ascii="Times New Roman"/>
          <w:sz w:val="20"/>
        </w:rPr>
        <w:t>and</w:t>
      </w:r>
      <w:r>
        <w:rPr>
          <w:rFonts w:ascii="Times New Roman"/>
          <w:spacing w:val="-2"/>
          <w:sz w:val="20"/>
        </w:rPr>
        <w:t xml:space="preserve"> </w:t>
      </w:r>
      <w:r>
        <w:rPr>
          <w:rFonts w:ascii="Times New Roman"/>
          <w:sz w:val="20"/>
        </w:rPr>
        <w:t>of</w:t>
      </w:r>
      <w:r>
        <w:rPr>
          <w:rFonts w:ascii="Times New Roman"/>
          <w:spacing w:val="-5"/>
          <w:sz w:val="20"/>
        </w:rPr>
        <w:t xml:space="preserve"> </w:t>
      </w:r>
      <w:r>
        <w:rPr>
          <w:rFonts w:ascii="Times New Roman"/>
          <w:sz w:val="20"/>
        </w:rPr>
        <w:t>the</w:t>
      </w:r>
      <w:r>
        <w:rPr>
          <w:rFonts w:ascii="Times New Roman"/>
          <w:spacing w:val="-3"/>
          <w:sz w:val="20"/>
        </w:rPr>
        <w:t xml:space="preserve"> </w:t>
      </w:r>
      <w:r>
        <w:rPr>
          <w:rFonts w:ascii="Times New Roman"/>
          <w:sz w:val="20"/>
        </w:rPr>
        <w:t>Council</w:t>
      </w:r>
      <w:r>
        <w:rPr>
          <w:rFonts w:ascii="Times New Roman"/>
          <w:spacing w:val="-5"/>
          <w:sz w:val="20"/>
        </w:rPr>
        <w:t xml:space="preserve"> </w:t>
      </w:r>
      <w:r>
        <w:rPr>
          <w:rFonts w:ascii="Times New Roman"/>
          <w:sz w:val="20"/>
        </w:rPr>
        <w:t>of</w:t>
      </w:r>
      <w:r>
        <w:rPr>
          <w:rFonts w:ascii="Times New Roman"/>
          <w:spacing w:val="-3"/>
          <w:sz w:val="20"/>
        </w:rPr>
        <w:t xml:space="preserve"> </w:t>
      </w:r>
      <w:r>
        <w:rPr>
          <w:rFonts w:ascii="Times New Roman"/>
          <w:sz w:val="20"/>
        </w:rPr>
        <w:t>17</w:t>
      </w:r>
      <w:r>
        <w:rPr>
          <w:rFonts w:ascii="Times New Roman"/>
          <w:spacing w:val="-2"/>
          <w:sz w:val="20"/>
        </w:rPr>
        <w:t xml:space="preserve"> </w:t>
      </w:r>
      <w:r>
        <w:rPr>
          <w:rFonts w:ascii="Times New Roman"/>
          <w:sz w:val="20"/>
        </w:rPr>
        <w:t>December</w:t>
      </w:r>
      <w:r>
        <w:rPr>
          <w:rFonts w:ascii="Times New Roman"/>
          <w:spacing w:val="-2"/>
          <w:sz w:val="20"/>
        </w:rPr>
        <w:t xml:space="preserve"> </w:t>
      </w:r>
      <w:r>
        <w:rPr>
          <w:rFonts w:ascii="Times New Roman"/>
          <w:sz w:val="20"/>
        </w:rPr>
        <w:t>2013 on support for rural development by the EAFRD OJ L 347, 20.12.2013.</w:t>
      </w:r>
    </w:p>
    <w:p w14:paraId="33CC6D18" w14:textId="77777777" w:rsidR="00161C10" w:rsidRDefault="00CE2C8C">
      <w:pPr>
        <w:pStyle w:val="ListParagraph"/>
        <w:numPr>
          <w:ilvl w:val="1"/>
          <w:numId w:val="3"/>
        </w:numPr>
        <w:tabs>
          <w:tab w:val="left" w:pos="844"/>
        </w:tabs>
        <w:spacing w:before="50"/>
        <w:ind w:left="844" w:hanging="340"/>
        <w:rPr>
          <w:rFonts w:ascii="Times New Roman"/>
          <w:sz w:val="24"/>
        </w:rPr>
      </w:pPr>
      <w:r>
        <w:rPr>
          <w:rFonts w:ascii="Times New Roman"/>
          <w:sz w:val="20"/>
        </w:rPr>
        <w:t>See,</w:t>
      </w:r>
      <w:r>
        <w:rPr>
          <w:rFonts w:ascii="Times New Roman"/>
          <w:spacing w:val="-7"/>
          <w:sz w:val="20"/>
        </w:rPr>
        <w:t xml:space="preserve"> </w:t>
      </w:r>
      <w:r>
        <w:rPr>
          <w:rFonts w:ascii="Times New Roman"/>
          <w:sz w:val="20"/>
        </w:rPr>
        <w:t>by</w:t>
      </w:r>
      <w:r>
        <w:rPr>
          <w:rFonts w:ascii="Times New Roman"/>
          <w:spacing w:val="-10"/>
          <w:sz w:val="20"/>
        </w:rPr>
        <w:t xml:space="preserve"> </w:t>
      </w:r>
      <w:r>
        <w:rPr>
          <w:rFonts w:ascii="Times New Roman"/>
          <w:sz w:val="20"/>
        </w:rPr>
        <w:t>analogy,</w:t>
      </w:r>
      <w:r>
        <w:rPr>
          <w:rFonts w:ascii="Times New Roman"/>
          <w:spacing w:val="-8"/>
          <w:sz w:val="20"/>
        </w:rPr>
        <w:t xml:space="preserve"> </w:t>
      </w:r>
      <w:r>
        <w:rPr>
          <w:rFonts w:ascii="Times New Roman"/>
          <w:sz w:val="20"/>
        </w:rPr>
        <w:t>case</w:t>
      </w:r>
      <w:r>
        <w:rPr>
          <w:rFonts w:ascii="Times New Roman"/>
          <w:spacing w:val="-9"/>
          <w:sz w:val="20"/>
        </w:rPr>
        <w:t xml:space="preserve"> </w:t>
      </w:r>
      <w:r>
        <w:rPr>
          <w:rFonts w:ascii="Times New Roman"/>
          <w:sz w:val="20"/>
        </w:rPr>
        <w:t>C-l</w:t>
      </w:r>
      <w:r>
        <w:rPr>
          <w:rFonts w:ascii="Times New Roman"/>
          <w:spacing w:val="-7"/>
          <w:sz w:val="20"/>
        </w:rPr>
        <w:t xml:space="preserve"> </w:t>
      </w:r>
      <w:r>
        <w:rPr>
          <w:rFonts w:ascii="Times New Roman"/>
          <w:sz w:val="20"/>
        </w:rPr>
        <w:t>17/14,</w:t>
      </w:r>
      <w:r>
        <w:rPr>
          <w:rFonts w:ascii="Times New Roman"/>
          <w:spacing w:val="-6"/>
          <w:sz w:val="20"/>
        </w:rPr>
        <w:t xml:space="preserve"> </w:t>
      </w:r>
      <w:proofErr w:type="spellStart"/>
      <w:r>
        <w:rPr>
          <w:rFonts w:ascii="Times New Roman"/>
          <w:i/>
          <w:sz w:val="20"/>
        </w:rPr>
        <w:t>Nisttahuz</w:t>
      </w:r>
      <w:proofErr w:type="spellEnd"/>
      <w:r>
        <w:rPr>
          <w:rFonts w:ascii="Times New Roman"/>
          <w:i/>
          <w:spacing w:val="-9"/>
          <w:sz w:val="20"/>
        </w:rPr>
        <w:t xml:space="preserve"> </w:t>
      </w:r>
      <w:proofErr w:type="spellStart"/>
      <w:r>
        <w:rPr>
          <w:rFonts w:ascii="Times New Roman"/>
          <w:i/>
          <w:sz w:val="20"/>
        </w:rPr>
        <w:t>Podava</w:t>
      </w:r>
      <w:proofErr w:type="spellEnd"/>
      <w:r>
        <w:rPr>
          <w:rFonts w:ascii="Times New Roman"/>
          <w:i/>
          <w:sz w:val="20"/>
        </w:rPr>
        <w:t>,</w:t>
      </w:r>
      <w:r>
        <w:rPr>
          <w:rFonts w:ascii="Times New Roman"/>
          <w:i/>
          <w:spacing w:val="-5"/>
          <w:sz w:val="20"/>
        </w:rPr>
        <w:t xml:space="preserve"> </w:t>
      </w:r>
      <w:r>
        <w:rPr>
          <w:rFonts w:ascii="Times New Roman"/>
          <w:sz w:val="20"/>
        </w:rPr>
        <w:t>point</w:t>
      </w:r>
      <w:r>
        <w:rPr>
          <w:rFonts w:ascii="Times New Roman"/>
          <w:spacing w:val="-9"/>
          <w:sz w:val="20"/>
        </w:rPr>
        <w:t xml:space="preserve"> </w:t>
      </w:r>
      <w:r>
        <w:rPr>
          <w:rFonts w:ascii="Times New Roman"/>
          <w:spacing w:val="-5"/>
          <w:sz w:val="20"/>
        </w:rPr>
        <w:t>42</w:t>
      </w:r>
    </w:p>
    <w:p w14:paraId="4481EDD0" w14:textId="77777777" w:rsidR="00161C10" w:rsidRPr="005B2E9B" w:rsidRDefault="00161C10" w:rsidP="005B2E9B">
      <w:pPr>
        <w:rPr>
          <w:rFonts w:ascii="Times New Roman"/>
          <w:sz w:val="24"/>
        </w:rPr>
        <w:sectPr w:rsidR="00161C10" w:rsidRPr="005B2E9B">
          <w:footerReference w:type="default" r:id="rId133"/>
          <w:pgSz w:w="11920" w:h="16850"/>
          <w:pgMar w:top="520" w:right="360" w:bottom="1240" w:left="1080" w:header="0" w:footer="1054" w:gutter="0"/>
          <w:pgNumType w:start="2"/>
          <w:cols w:space="720"/>
        </w:sectPr>
      </w:pPr>
    </w:p>
    <w:p w14:paraId="478D1D77" w14:textId="7C5F7CA5" w:rsidR="00161C10" w:rsidRDefault="00161C10" w:rsidP="00CE2C8C"/>
    <w:p w14:paraId="0BB038BF" w14:textId="77777777" w:rsidR="00161C10" w:rsidRDefault="00CE2C8C">
      <w:pPr>
        <w:pStyle w:val="BodyText"/>
        <w:spacing w:before="224" w:line="237" w:lineRule="auto"/>
        <w:ind w:left="504" w:right="1338"/>
        <w:jc w:val="both"/>
        <w:rPr>
          <w:rFonts w:ascii="Times New Roman"/>
        </w:rPr>
      </w:pPr>
      <w:r>
        <w:rPr>
          <w:rFonts w:ascii="Times New Roman"/>
        </w:rPr>
        <w:t>constitutes implementation of Union law within the meaning of that provision would</w:t>
      </w:r>
      <w:r>
        <w:rPr>
          <w:rFonts w:ascii="Times New Roman"/>
          <w:spacing w:val="40"/>
        </w:rPr>
        <w:t xml:space="preserve"> </w:t>
      </w:r>
      <w:r>
        <w:rPr>
          <w:rFonts w:ascii="Times New Roman"/>
        </w:rPr>
        <w:t>have to be assessed separately and on its own merits, in the light of any normative or functional connection between that operation and provisions of Union law.</w:t>
      </w:r>
    </w:p>
    <w:p w14:paraId="027DBB0D" w14:textId="77777777" w:rsidR="00161C10" w:rsidRDefault="00CE2C8C">
      <w:pPr>
        <w:pStyle w:val="BodyText"/>
        <w:spacing w:before="124" w:line="237" w:lineRule="auto"/>
        <w:ind w:left="504" w:right="1342"/>
        <w:jc w:val="both"/>
        <w:rPr>
          <w:rFonts w:ascii="Times New Roman"/>
        </w:rPr>
      </w:pPr>
      <w:r>
        <w:rPr>
          <w:rFonts w:ascii="Times New Roman"/>
        </w:rPr>
        <w:t>Therefore, my services asked the Managing Authority of the Austrian RDP to provide additional information as concerns the approved project concerned.</w:t>
      </w:r>
    </w:p>
    <w:p w14:paraId="2C7D9606" w14:textId="77777777" w:rsidR="00161C10" w:rsidRDefault="00CE2C8C">
      <w:pPr>
        <w:pStyle w:val="BodyText"/>
        <w:spacing w:before="233"/>
        <w:ind w:left="504" w:right="1339"/>
        <w:jc w:val="both"/>
        <w:rPr>
          <w:rFonts w:ascii="Times New Roman"/>
        </w:rPr>
      </w:pPr>
      <w:r>
        <w:rPr>
          <w:rFonts w:ascii="Times New Roman"/>
        </w:rPr>
        <w:t xml:space="preserve">The national authorities stressed that Carinthia is continuously working on the implementation of the UNCRPD, </w:t>
      </w:r>
      <w:proofErr w:type="gramStart"/>
      <w:r>
        <w:rPr>
          <w:rFonts w:ascii="Times New Roman"/>
        </w:rPr>
        <w:t>taking into account</w:t>
      </w:r>
      <w:proofErr w:type="gramEnd"/>
      <w:r>
        <w:rPr>
          <w:rFonts w:ascii="Times New Roman"/>
        </w:rPr>
        <w:t xml:space="preserve"> the national strategy on deinstitutionalisation and the national action plan for persons with disabilities. According to these authorities, the implementation of the strategies should be seen as a process. The aim is to continuously develop services to establish independent living conditions for people with disabilities.</w:t>
      </w:r>
    </w:p>
    <w:p w14:paraId="68F135C7" w14:textId="77777777" w:rsidR="00161C10" w:rsidRDefault="00CE2C8C">
      <w:pPr>
        <w:pStyle w:val="BodyText"/>
        <w:spacing w:before="124"/>
        <w:ind w:left="504" w:right="1337"/>
        <w:jc w:val="both"/>
        <w:rPr>
          <w:rFonts w:ascii="Times New Roman"/>
        </w:rPr>
      </w:pPr>
      <w:r>
        <w:rPr>
          <w:rFonts w:ascii="Times New Roman"/>
        </w:rPr>
        <w:t>They explained that in the case of the facility in question, which is currently being implemented with a deadline for completion that is set for the end of 2023, this will be done by means of a new building for accessibility, modern fire safety and improvement</w:t>
      </w:r>
      <w:r>
        <w:rPr>
          <w:rFonts w:ascii="Times New Roman"/>
          <w:spacing w:val="40"/>
        </w:rPr>
        <w:t xml:space="preserve"> </w:t>
      </w:r>
      <w:r>
        <w:rPr>
          <w:rFonts w:ascii="Times New Roman"/>
        </w:rPr>
        <w:t>of the space offered. The housing group of currently 15 inhabitants is divided into</w:t>
      </w:r>
      <w:r>
        <w:rPr>
          <w:rFonts w:ascii="Times New Roman"/>
          <w:spacing w:val="80"/>
        </w:rPr>
        <w:t xml:space="preserve"> </w:t>
      </w:r>
      <w:r>
        <w:rPr>
          <w:rFonts w:ascii="Times New Roman"/>
        </w:rPr>
        <w:t>smaller groups. In addition, single and double rooms are offered, which was not possible in the existing facility. The project addresses also development gaps and contributes to inclusion in society of the children and young people with disabilities of compulsory school age.</w:t>
      </w:r>
      <w:r>
        <w:rPr>
          <w:rFonts w:ascii="Times New Roman"/>
          <w:spacing w:val="-1"/>
        </w:rPr>
        <w:t xml:space="preserve"> </w:t>
      </w:r>
      <w:r>
        <w:rPr>
          <w:rFonts w:ascii="Times New Roman"/>
        </w:rPr>
        <w:t>In the same spirit of deinstitutionalisation, the right to full participation in the community is being exercised. School attendance and leisure activities take place mostly outside the residence and most children and young people spend weekends and holidays with their families. Depending on the level of knowledge and the individual curriculum, children and young people required to attend school can either attend the Comenius Private School with Public Law or, alternatively, a public school. The facility is opened, according to the national authorities,</w:t>
      </w:r>
      <w:r>
        <w:rPr>
          <w:rFonts w:ascii="Times New Roman"/>
          <w:spacing w:val="-1"/>
        </w:rPr>
        <w:t xml:space="preserve"> </w:t>
      </w:r>
      <w:r>
        <w:rPr>
          <w:rFonts w:ascii="Times New Roman"/>
        </w:rPr>
        <w:t>to the outside</w:t>
      </w:r>
      <w:r>
        <w:rPr>
          <w:rFonts w:ascii="Times New Roman"/>
          <w:spacing w:val="-3"/>
        </w:rPr>
        <w:t xml:space="preserve"> </w:t>
      </w:r>
      <w:r>
        <w:rPr>
          <w:rFonts w:ascii="Times New Roman"/>
        </w:rPr>
        <w:t>world by</w:t>
      </w:r>
      <w:r>
        <w:rPr>
          <w:rFonts w:ascii="Times New Roman"/>
          <w:spacing w:val="-2"/>
        </w:rPr>
        <w:t xml:space="preserve"> </w:t>
      </w:r>
      <w:r>
        <w:rPr>
          <w:rFonts w:ascii="Times New Roman"/>
        </w:rPr>
        <w:t>inviting both the parents and relatives of the inhabitants.</w:t>
      </w:r>
    </w:p>
    <w:p w14:paraId="08A8FCB9" w14:textId="77777777" w:rsidR="00161C10" w:rsidRDefault="00161C10">
      <w:pPr>
        <w:pStyle w:val="BodyText"/>
        <w:rPr>
          <w:rFonts w:ascii="Times New Roman"/>
        </w:rPr>
      </w:pPr>
    </w:p>
    <w:p w14:paraId="55F3E81F" w14:textId="77777777" w:rsidR="00161C10" w:rsidRDefault="00CE2C8C">
      <w:pPr>
        <w:pStyle w:val="BodyText"/>
        <w:ind w:left="504" w:right="1338"/>
        <w:jc w:val="both"/>
        <w:rPr>
          <w:rFonts w:ascii="Times New Roman"/>
        </w:rPr>
      </w:pPr>
      <w:r>
        <w:rPr>
          <w:rFonts w:ascii="Times New Roman"/>
        </w:rPr>
        <w:t xml:space="preserve">Furthermore, in terms of the implementation of the RDP, the national authorities pointed out that members of disability </w:t>
      </w:r>
      <w:proofErr w:type="spellStart"/>
      <w:r>
        <w:rPr>
          <w:rFonts w:ascii="Times New Roman"/>
        </w:rPr>
        <w:t>organisations</w:t>
      </w:r>
      <w:proofErr w:type="spellEnd"/>
      <w:r>
        <w:rPr>
          <w:rFonts w:ascii="Times New Roman"/>
        </w:rPr>
        <w:t>, specifically the Austrian Disability Council, are represented and have voting rights on the supervisory committee, and are therefore able to actively participate in all discussions and decisions. This also has</w:t>
      </w:r>
      <w:r>
        <w:rPr>
          <w:rFonts w:ascii="Times New Roman"/>
          <w:spacing w:val="40"/>
        </w:rPr>
        <w:t xml:space="preserve"> </w:t>
      </w:r>
      <w:r>
        <w:rPr>
          <w:rFonts w:ascii="Times New Roman"/>
        </w:rPr>
        <w:t>an impact on</w:t>
      </w:r>
      <w:r>
        <w:rPr>
          <w:rFonts w:ascii="Times New Roman"/>
          <w:spacing w:val="40"/>
        </w:rPr>
        <w:t xml:space="preserve"> </w:t>
      </w:r>
      <w:r>
        <w:rPr>
          <w:rFonts w:ascii="Times New Roman"/>
        </w:rPr>
        <w:t xml:space="preserve">the design of the </w:t>
      </w:r>
      <w:proofErr w:type="spellStart"/>
      <w:r>
        <w:rPr>
          <w:rFonts w:ascii="Times New Roman"/>
        </w:rPr>
        <w:t>programme</w:t>
      </w:r>
      <w:proofErr w:type="spellEnd"/>
      <w:r>
        <w:rPr>
          <w:rFonts w:ascii="Times New Roman"/>
        </w:rPr>
        <w:t xml:space="preserve"> and of the selection criteria of the projects.</w:t>
      </w:r>
    </w:p>
    <w:p w14:paraId="091CDFD5" w14:textId="77777777" w:rsidR="00161C10" w:rsidRDefault="00CE2C8C">
      <w:pPr>
        <w:pStyle w:val="BodyText"/>
        <w:spacing w:before="203"/>
        <w:ind w:left="504" w:right="1347"/>
        <w:jc w:val="both"/>
        <w:rPr>
          <w:rFonts w:ascii="Times New Roman"/>
        </w:rPr>
      </w:pPr>
      <w:r>
        <w:rPr>
          <w:rFonts w:ascii="Times New Roman"/>
        </w:rPr>
        <w:t xml:space="preserve">Finally, it should be recalled that, like any international treaty, the primary responsibility to implement the UNCRPD lies with the State parties. Signing and ratifying the Convention obliges the State parties to ensure that all existing and future legislation, policies and </w:t>
      </w:r>
      <w:proofErr w:type="spellStart"/>
      <w:r>
        <w:rPr>
          <w:rFonts w:ascii="Times New Roman"/>
        </w:rPr>
        <w:t>programmes</w:t>
      </w:r>
      <w:proofErr w:type="spellEnd"/>
      <w:r>
        <w:rPr>
          <w:rFonts w:ascii="Times New Roman"/>
        </w:rPr>
        <w:t xml:space="preserve"> are aligned with its provisions.</w:t>
      </w:r>
    </w:p>
    <w:p w14:paraId="33C39771" w14:textId="77777777" w:rsidR="00161C10" w:rsidRDefault="00161C10">
      <w:pPr>
        <w:pStyle w:val="BodyText"/>
        <w:spacing w:before="223"/>
        <w:rPr>
          <w:rFonts w:ascii="Times New Roman"/>
        </w:rPr>
      </w:pPr>
    </w:p>
    <w:p w14:paraId="71959234" w14:textId="77777777" w:rsidR="00161C10" w:rsidRPr="00CE2C8C" w:rsidRDefault="00CE2C8C" w:rsidP="00CE2C8C">
      <w:pPr>
        <w:ind w:left="504"/>
        <w:rPr>
          <w:rFonts w:ascii="Times New Roman" w:hAnsi="Times New Roman" w:cs="Times New Roman"/>
          <w:b/>
          <w:bCs/>
          <w:sz w:val="24"/>
          <w:szCs w:val="24"/>
        </w:rPr>
      </w:pPr>
      <w:r w:rsidRPr="00CE2C8C">
        <w:rPr>
          <w:rFonts w:ascii="Times New Roman" w:hAnsi="Times New Roman" w:cs="Times New Roman"/>
          <w:b/>
          <w:bCs/>
          <w:sz w:val="24"/>
          <w:szCs w:val="24"/>
        </w:rPr>
        <w:t>Conclusion</w:t>
      </w:r>
    </w:p>
    <w:p w14:paraId="1216D206" w14:textId="77777777" w:rsidR="00161C10" w:rsidRDefault="00161C10">
      <w:pPr>
        <w:pStyle w:val="BodyText"/>
        <w:spacing w:before="204"/>
        <w:rPr>
          <w:rFonts w:ascii="Times New Roman"/>
          <w:b/>
        </w:rPr>
      </w:pPr>
    </w:p>
    <w:p w14:paraId="30BB5EF1" w14:textId="019C736A" w:rsidR="00161C10" w:rsidRDefault="00CE2C8C" w:rsidP="005B2E9B">
      <w:pPr>
        <w:pStyle w:val="BodyText"/>
        <w:ind w:left="504" w:right="1339"/>
        <w:jc w:val="both"/>
        <w:rPr>
          <w:rFonts w:ascii="Times New Roman"/>
        </w:rPr>
        <w:sectPr w:rsidR="00161C10">
          <w:pgSz w:w="11920" w:h="16850"/>
          <w:pgMar w:top="520" w:right="360" w:bottom="1240" w:left="1080" w:header="0" w:footer="1054" w:gutter="0"/>
          <w:cols w:space="720"/>
        </w:sectPr>
      </w:pPr>
      <w:r>
        <w:rPr>
          <w:rFonts w:ascii="Times New Roman"/>
        </w:rPr>
        <w:t>As an outcome of the preliminary analysis of your allegations and taking into consideration the additional information received from the competent national</w:t>
      </w:r>
      <w:r>
        <w:rPr>
          <w:rFonts w:ascii="Times New Roman"/>
          <w:spacing w:val="80"/>
        </w:rPr>
        <w:t xml:space="preserve"> </w:t>
      </w:r>
      <w:r>
        <w:rPr>
          <w:rFonts w:ascii="Times New Roman"/>
        </w:rPr>
        <w:t>authorities, DG AGRI does not consider that there is any breach of the applicable Union law for the Commission to pursue. Since the issues highlighted in your complaint fall under</w:t>
      </w:r>
      <w:r>
        <w:rPr>
          <w:rFonts w:ascii="Times New Roman"/>
          <w:spacing w:val="-3"/>
        </w:rPr>
        <w:t xml:space="preserve"> </w:t>
      </w:r>
      <w:r>
        <w:rPr>
          <w:rFonts w:ascii="Times New Roman"/>
        </w:rPr>
        <w:t>the competence</w:t>
      </w:r>
      <w:r>
        <w:rPr>
          <w:rFonts w:ascii="Times New Roman"/>
          <w:spacing w:val="-2"/>
        </w:rPr>
        <w:t xml:space="preserve"> </w:t>
      </w:r>
      <w:r>
        <w:rPr>
          <w:rFonts w:ascii="Times New Roman"/>
        </w:rPr>
        <w:t>of</w:t>
      </w:r>
      <w:r>
        <w:rPr>
          <w:rFonts w:ascii="Times New Roman"/>
          <w:spacing w:val="-1"/>
        </w:rPr>
        <w:t xml:space="preserve"> </w:t>
      </w:r>
      <w:r>
        <w:rPr>
          <w:rFonts w:ascii="Times New Roman"/>
        </w:rPr>
        <w:t>the</w:t>
      </w:r>
      <w:r>
        <w:rPr>
          <w:rFonts w:ascii="Times New Roman"/>
          <w:spacing w:val="-3"/>
        </w:rPr>
        <w:t xml:space="preserve"> </w:t>
      </w:r>
      <w:r>
        <w:rPr>
          <w:rFonts w:ascii="Times New Roman"/>
        </w:rPr>
        <w:t>Member</w:t>
      </w:r>
      <w:r>
        <w:rPr>
          <w:rFonts w:ascii="Times New Roman"/>
          <w:spacing w:val="-4"/>
        </w:rPr>
        <w:t xml:space="preserve"> </w:t>
      </w:r>
      <w:r>
        <w:rPr>
          <w:rFonts w:ascii="Times New Roman"/>
        </w:rPr>
        <w:t>State at</w:t>
      </w:r>
      <w:r>
        <w:rPr>
          <w:rFonts w:ascii="Times New Roman"/>
          <w:spacing w:val="-2"/>
        </w:rPr>
        <w:t xml:space="preserve"> </w:t>
      </w:r>
      <w:r>
        <w:rPr>
          <w:rFonts w:ascii="Times New Roman"/>
        </w:rPr>
        <w:t>hand, we</w:t>
      </w:r>
      <w:r>
        <w:rPr>
          <w:rFonts w:ascii="Times New Roman"/>
          <w:spacing w:val="-3"/>
        </w:rPr>
        <w:t xml:space="preserve"> </w:t>
      </w:r>
      <w:r>
        <w:rPr>
          <w:rFonts w:ascii="Times New Roman"/>
        </w:rPr>
        <w:t>would</w:t>
      </w:r>
      <w:r>
        <w:rPr>
          <w:rFonts w:ascii="Times New Roman"/>
          <w:spacing w:val="-2"/>
        </w:rPr>
        <w:t xml:space="preserve"> </w:t>
      </w:r>
      <w:r>
        <w:rPr>
          <w:rFonts w:ascii="Times New Roman"/>
        </w:rPr>
        <w:t>like</w:t>
      </w:r>
      <w:r>
        <w:rPr>
          <w:rFonts w:ascii="Times New Roman"/>
          <w:spacing w:val="-2"/>
        </w:rPr>
        <w:t xml:space="preserve"> </w:t>
      </w:r>
      <w:r>
        <w:rPr>
          <w:rFonts w:ascii="Times New Roman"/>
        </w:rPr>
        <w:t>to advise</w:t>
      </w:r>
      <w:r>
        <w:rPr>
          <w:rFonts w:ascii="Times New Roman"/>
          <w:spacing w:val="-1"/>
        </w:rPr>
        <w:t xml:space="preserve"> </w:t>
      </w:r>
      <w:r>
        <w:rPr>
          <w:rFonts w:ascii="Times New Roman"/>
        </w:rPr>
        <w:t>you</w:t>
      </w:r>
      <w:r>
        <w:rPr>
          <w:rFonts w:ascii="Times New Roman"/>
          <w:spacing w:val="-2"/>
        </w:rPr>
        <w:t xml:space="preserve"> </w:t>
      </w:r>
      <w:r>
        <w:rPr>
          <w:rFonts w:ascii="Times New Roman"/>
        </w:rPr>
        <w:t>to</w:t>
      </w:r>
      <w:r>
        <w:rPr>
          <w:rFonts w:ascii="Times New Roman"/>
          <w:spacing w:val="-2"/>
        </w:rPr>
        <w:t xml:space="preserve"> </w:t>
      </w:r>
      <w:r>
        <w:rPr>
          <w:rFonts w:ascii="Times New Roman"/>
        </w:rPr>
        <w:t>seek a solution before the national administrative authorities and/or competent courts.</w:t>
      </w:r>
    </w:p>
    <w:p w14:paraId="1F36208A" w14:textId="3305D3D5" w:rsidR="00161C10" w:rsidRDefault="00CE2C8C" w:rsidP="00CE2C8C">
      <w:r>
        <w:rPr>
          <w:noProof/>
        </w:rPr>
        <w:lastRenderedPageBreak/>
        <w:drawing>
          <wp:anchor distT="0" distB="0" distL="0" distR="0" simplePos="0" relativeHeight="251659264" behindDoc="0" locked="0" layoutInCell="1" allowOverlap="1" wp14:anchorId="39150DB5" wp14:editId="77BB9811">
            <wp:simplePos x="0" y="0"/>
            <wp:positionH relativeFrom="page">
              <wp:posOffset>215900</wp:posOffset>
            </wp:positionH>
            <wp:positionV relativeFrom="page">
              <wp:posOffset>10033000</wp:posOffset>
            </wp:positionV>
            <wp:extent cx="165100" cy="114298"/>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34" cstate="print"/>
                    <a:stretch>
                      <a:fillRect/>
                    </a:stretch>
                  </pic:blipFill>
                  <pic:spPr>
                    <a:xfrm>
                      <a:off x="0" y="0"/>
                      <a:ext cx="165100" cy="114298"/>
                    </a:xfrm>
                    <a:prstGeom prst="rect">
                      <a:avLst/>
                    </a:prstGeom>
                  </pic:spPr>
                </pic:pic>
              </a:graphicData>
            </a:graphic>
          </wp:anchor>
        </w:drawing>
      </w:r>
    </w:p>
    <w:p w14:paraId="7A8B1191" w14:textId="77777777" w:rsidR="00161C10" w:rsidRDefault="00161C10">
      <w:pPr>
        <w:pStyle w:val="BodyText"/>
        <w:rPr>
          <w:rFonts w:ascii="Times New Roman"/>
          <w:b/>
        </w:rPr>
      </w:pPr>
    </w:p>
    <w:p w14:paraId="442DD3CC" w14:textId="77777777" w:rsidR="00161C10" w:rsidRDefault="00161C10">
      <w:pPr>
        <w:pStyle w:val="BodyText"/>
        <w:rPr>
          <w:rFonts w:ascii="Times New Roman"/>
          <w:b/>
        </w:rPr>
      </w:pPr>
    </w:p>
    <w:p w14:paraId="2D231725" w14:textId="77777777" w:rsidR="00161C10" w:rsidRDefault="00161C10">
      <w:pPr>
        <w:pStyle w:val="BodyText"/>
        <w:rPr>
          <w:rFonts w:ascii="Times New Roman"/>
          <w:b/>
        </w:rPr>
      </w:pPr>
    </w:p>
    <w:p w14:paraId="363BBEB5" w14:textId="77777777" w:rsidR="00161C10" w:rsidRDefault="00161C10">
      <w:pPr>
        <w:pStyle w:val="BodyText"/>
        <w:spacing w:before="219"/>
        <w:rPr>
          <w:rFonts w:ascii="Times New Roman"/>
          <w:b/>
        </w:rPr>
      </w:pPr>
    </w:p>
    <w:p w14:paraId="2D0FFE8C" w14:textId="77777777" w:rsidR="00161C10" w:rsidRDefault="00CE2C8C">
      <w:pPr>
        <w:pStyle w:val="BodyText"/>
        <w:spacing w:before="1"/>
        <w:ind w:left="504" w:right="1335"/>
        <w:jc w:val="both"/>
        <w:rPr>
          <w:rFonts w:ascii="Times New Roman"/>
        </w:rPr>
      </w:pPr>
      <w:r>
        <w:rPr>
          <w:rFonts w:ascii="Times New Roman"/>
        </w:rPr>
        <w:t>In the light of the above, I inform you that we intend to close your complaint unless we receive, within four weeks of the date of this letter, by airmail or by e-mail at the following</w:t>
      </w:r>
      <w:r>
        <w:rPr>
          <w:rFonts w:ascii="Times New Roman"/>
          <w:spacing w:val="-2"/>
        </w:rPr>
        <w:t xml:space="preserve"> </w:t>
      </w:r>
      <w:r>
        <w:rPr>
          <w:rFonts w:ascii="Times New Roman"/>
        </w:rPr>
        <w:t xml:space="preserve">address </w:t>
      </w:r>
      <w:hyperlink r:id="rId135">
        <w:r>
          <w:rPr>
            <w:rFonts w:ascii="Times New Roman"/>
            <w:color w:val="0000FF"/>
            <w:u w:val="single" w:color="0000FF"/>
          </w:rPr>
          <w:t>AGRI-CHAP@ec.europa.eu</w:t>
        </w:r>
        <w:r>
          <w:rPr>
            <w:rFonts w:ascii="Times New Roman"/>
          </w:rPr>
          <w:t>,</w:t>
        </w:r>
      </w:hyperlink>
      <w:r>
        <w:rPr>
          <w:rFonts w:ascii="Times New Roman"/>
        </w:rPr>
        <w:t xml:space="preserve"> documents</w:t>
      </w:r>
      <w:r>
        <w:rPr>
          <w:rFonts w:ascii="Times New Roman"/>
          <w:spacing w:val="-1"/>
        </w:rPr>
        <w:t xml:space="preserve"> </w:t>
      </w:r>
      <w:r>
        <w:rPr>
          <w:rFonts w:ascii="Times New Roman"/>
        </w:rPr>
        <w:t>or new information</w:t>
      </w:r>
      <w:r>
        <w:rPr>
          <w:rFonts w:ascii="Times New Roman"/>
          <w:spacing w:val="-1"/>
        </w:rPr>
        <w:t xml:space="preserve"> </w:t>
      </w:r>
      <w:r>
        <w:rPr>
          <w:rFonts w:ascii="Times New Roman"/>
        </w:rPr>
        <w:t>that</w:t>
      </w:r>
      <w:r>
        <w:rPr>
          <w:rFonts w:ascii="Times New Roman"/>
          <w:spacing w:val="-2"/>
        </w:rPr>
        <w:t xml:space="preserve"> </w:t>
      </w:r>
      <w:r>
        <w:rPr>
          <w:rFonts w:ascii="Times New Roman"/>
        </w:rPr>
        <w:t>could alter our position.</w:t>
      </w:r>
    </w:p>
    <w:p w14:paraId="59A4FDB3" w14:textId="77777777" w:rsidR="00161C10" w:rsidRDefault="00CE2C8C">
      <w:pPr>
        <w:pStyle w:val="BodyText"/>
        <w:spacing w:before="237"/>
        <w:ind w:left="504"/>
        <w:jc w:val="both"/>
        <w:rPr>
          <w:rFonts w:ascii="Times New Roman"/>
        </w:rPr>
      </w:pPr>
      <w:r>
        <w:rPr>
          <w:rFonts w:ascii="Times New Roman"/>
        </w:rPr>
        <w:t>Yours</w:t>
      </w:r>
      <w:r>
        <w:rPr>
          <w:rFonts w:ascii="Times New Roman"/>
          <w:spacing w:val="-5"/>
        </w:rPr>
        <w:t xml:space="preserve"> </w:t>
      </w:r>
      <w:r>
        <w:rPr>
          <w:rFonts w:ascii="Times New Roman"/>
          <w:spacing w:val="-2"/>
        </w:rPr>
        <w:t>faithfully,</w:t>
      </w:r>
    </w:p>
    <w:p w14:paraId="29A5A8C0" w14:textId="77777777" w:rsidR="00161C10" w:rsidRDefault="00CE2C8C">
      <w:pPr>
        <w:pStyle w:val="BodyText"/>
        <w:spacing w:before="6"/>
        <w:rPr>
          <w:rFonts w:ascii="Times New Roman"/>
          <w:sz w:val="12"/>
        </w:rPr>
      </w:pPr>
      <w:r>
        <w:rPr>
          <w:rFonts w:ascii="Times New Roman"/>
          <w:noProof/>
          <w:sz w:val="12"/>
        </w:rPr>
        <mc:AlternateContent>
          <mc:Choice Requires="wps">
            <w:drawing>
              <wp:anchor distT="0" distB="0" distL="0" distR="0" simplePos="0" relativeHeight="487611904" behindDoc="1" locked="0" layoutInCell="1" allowOverlap="1" wp14:anchorId="72C5B0AB" wp14:editId="251790ED">
                <wp:simplePos x="0" y="0"/>
                <wp:positionH relativeFrom="page">
                  <wp:posOffset>3542029</wp:posOffset>
                </wp:positionH>
                <wp:positionV relativeFrom="paragraph">
                  <wp:posOffset>106672</wp:posOffset>
                </wp:positionV>
                <wp:extent cx="3657600" cy="1016000"/>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1016000"/>
                        </a:xfrm>
                        <a:prstGeom prst="rect">
                          <a:avLst/>
                        </a:prstGeom>
                        <a:solidFill>
                          <a:srgbClr val="424242"/>
                        </a:solidFill>
                      </wps:spPr>
                      <wps:txbx>
                        <w:txbxContent>
                          <w:p w14:paraId="7AB880BB" w14:textId="77777777" w:rsidR="00161C10" w:rsidRDefault="00161C10">
                            <w:pPr>
                              <w:pStyle w:val="BodyText"/>
                              <w:rPr>
                                <w:rFonts w:ascii="Times New Roman"/>
                                <w:color w:val="000000"/>
                              </w:rPr>
                            </w:pPr>
                          </w:p>
                          <w:p w14:paraId="132F75CE" w14:textId="77777777" w:rsidR="00161C10" w:rsidRDefault="00161C10">
                            <w:pPr>
                              <w:pStyle w:val="BodyText"/>
                              <w:rPr>
                                <w:rFonts w:ascii="Times New Roman"/>
                                <w:color w:val="000000"/>
                              </w:rPr>
                            </w:pPr>
                          </w:p>
                          <w:p w14:paraId="1EC71AA8" w14:textId="77777777" w:rsidR="00161C10" w:rsidRDefault="00161C10">
                            <w:pPr>
                              <w:pStyle w:val="BodyText"/>
                              <w:rPr>
                                <w:rFonts w:ascii="Times New Roman"/>
                                <w:color w:val="000000"/>
                              </w:rPr>
                            </w:pPr>
                          </w:p>
                          <w:p w14:paraId="5756690F" w14:textId="77777777" w:rsidR="00161C10" w:rsidRDefault="00161C10">
                            <w:pPr>
                              <w:pStyle w:val="BodyText"/>
                              <w:spacing w:before="168"/>
                              <w:rPr>
                                <w:rFonts w:ascii="Times New Roman"/>
                                <w:color w:val="000000"/>
                              </w:rPr>
                            </w:pPr>
                          </w:p>
                          <w:p w14:paraId="29094FF9" w14:textId="73612448" w:rsidR="00161C10" w:rsidRDefault="00161C10">
                            <w:pPr>
                              <w:pStyle w:val="BodyText"/>
                              <w:spacing w:before="1"/>
                              <w:ind w:right="15"/>
                              <w:jc w:val="center"/>
                              <w:rPr>
                                <w:rFonts w:ascii="Times New Roman"/>
                                <w:color w:val="000000"/>
                              </w:rPr>
                            </w:pPr>
                          </w:p>
                        </w:txbxContent>
                      </wps:txbx>
                      <wps:bodyPr wrap="square" lIns="0" tIns="0" rIns="0" bIns="0" rtlCol="0">
                        <a:noAutofit/>
                      </wps:bodyPr>
                    </wps:wsp>
                  </a:graphicData>
                </a:graphic>
              </wp:anchor>
            </w:drawing>
          </mc:Choice>
          <mc:Fallback>
            <w:pict>
              <v:shape w14:anchorId="72C5B0AB" id="Textbox 67" o:spid="_x0000_s1062" type="#_x0000_t202" style="position:absolute;margin-left:278.9pt;margin-top:8.4pt;width:4in;height:80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" fillcolor="#424242" stroked="f">
                <v:textbox inset="0,0,0,0">
                  <w:txbxContent>
                    <w:p w14:paraId="7AB880BB" w14:textId="77777777" w:rsidR="00161C10" w:rsidRDefault="00161C10">
                      <w:pPr>
                        <w:pStyle w:val="Corpsdetexte"/>
                        <w:rPr>
                          <w:rFonts w:ascii="Times New Roman"/>
                          <w:color w:val="000000"/>
                        </w:rPr>
                      </w:pPr>
                    </w:p>
                    <w:p w14:paraId="132F75CE" w14:textId="77777777" w:rsidR="00161C10" w:rsidRDefault="00161C10">
                      <w:pPr>
                        <w:pStyle w:val="Corpsdetexte"/>
                        <w:rPr>
                          <w:rFonts w:ascii="Times New Roman"/>
                          <w:color w:val="000000"/>
                        </w:rPr>
                      </w:pPr>
                    </w:p>
                    <w:p w14:paraId="1EC71AA8" w14:textId="77777777" w:rsidR="00161C10" w:rsidRDefault="00161C10">
                      <w:pPr>
                        <w:pStyle w:val="Corpsdetexte"/>
                        <w:rPr>
                          <w:rFonts w:ascii="Times New Roman"/>
                          <w:color w:val="000000"/>
                        </w:rPr>
                      </w:pPr>
                    </w:p>
                    <w:p w14:paraId="5756690F" w14:textId="77777777" w:rsidR="00161C10" w:rsidRDefault="00161C10">
                      <w:pPr>
                        <w:pStyle w:val="Corpsdetexte"/>
                        <w:spacing w:before="168"/>
                        <w:rPr>
                          <w:rFonts w:ascii="Times New Roman"/>
                          <w:color w:val="000000"/>
                        </w:rPr>
                      </w:pPr>
                    </w:p>
                    <w:p w14:paraId="29094FF9" w14:textId="73612448" w:rsidR="00161C10" w:rsidRDefault="00161C10">
                      <w:pPr>
                        <w:pStyle w:val="Corpsdetexte"/>
                        <w:spacing w:before="1"/>
                        <w:ind w:right="15"/>
                        <w:jc w:val="center"/>
                        <w:rPr>
                          <w:rFonts w:ascii="Times New Roman"/>
                          <w:color w:val="000000"/>
                        </w:rPr>
                      </w:pPr>
                    </w:p>
                  </w:txbxContent>
                </v:textbox>
                <w10:wrap type="topAndBottom" anchorx="page"/>
              </v:shape>
            </w:pict>
          </mc:Fallback>
        </mc:AlternateContent>
      </w:r>
    </w:p>
    <w:sectPr w:rsidR="00161C10">
      <w:footerReference w:type="default" r:id="rId136"/>
      <w:pgSz w:w="11920" w:h="16850"/>
      <w:pgMar w:top="520" w:right="360" w:bottom="1240" w:left="1080" w:header="0" w:footer="10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382ED" w14:textId="77777777" w:rsidR="00822534" w:rsidRDefault="00822534">
      <w:r>
        <w:separator/>
      </w:r>
    </w:p>
  </w:endnote>
  <w:endnote w:type="continuationSeparator" w:id="0">
    <w:p w14:paraId="1EE687C2" w14:textId="77777777" w:rsidR="00822534" w:rsidRDefault="0082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3AA0" w14:textId="77777777" w:rsidR="00161C10" w:rsidRDefault="00CE2C8C">
    <w:pPr>
      <w:pStyle w:val="BodyText"/>
      <w:spacing w:line="14" w:lineRule="auto"/>
      <w:rPr>
        <w:sz w:val="20"/>
      </w:rPr>
    </w:pPr>
    <w:r>
      <w:rPr>
        <w:noProof/>
        <w:sz w:val="20"/>
      </w:rPr>
      <mc:AlternateContent>
        <mc:Choice Requires="wps">
          <w:drawing>
            <wp:anchor distT="0" distB="0" distL="0" distR="0" simplePos="0" relativeHeight="487123968" behindDoc="1" locked="0" layoutInCell="1" allowOverlap="1" wp14:anchorId="3E4B5A8A" wp14:editId="6BDD27E9">
              <wp:simplePos x="0" y="0"/>
              <wp:positionH relativeFrom="page">
                <wp:posOffset>6691376</wp:posOffset>
              </wp:positionH>
              <wp:positionV relativeFrom="page">
                <wp:posOffset>9065333</wp:posOffset>
              </wp:positionV>
              <wp:extent cx="219075"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2245"/>
                      </a:xfrm>
                      <a:prstGeom prst="rect">
                        <a:avLst/>
                      </a:prstGeom>
                    </wps:spPr>
                    <wps:txbx>
                      <w:txbxContent>
                        <w:p w14:paraId="355D32E6" w14:textId="77777777" w:rsidR="00161C10" w:rsidRDefault="00CE2C8C">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E4B5A8A" id="_x0000_t202" coordsize="21600,21600" o:spt="202" path="m,l,21600r21600,l21600,xe">
              <v:stroke joinstyle="miter"/>
              <v:path gradientshapeok="t" o:connecttype="rect"/>
            </v:shapetype>
            <v:shape id="Textbox 3" o:spid="_x0000_s1063" type="#_x0000_t202" style="position:absolute;margin-left:526.9pt;margin-top:713.8pt;width:17.25pt;height:14.35pt;z-index:-1619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" filled="f" stroked="f">
              <v:textbox inset="0,0,0,0">
                <w:txbxContent>
                  <w:p w14:paraId="355D32E6" w14:textId="77777777" w:rsidR="00161C10" w:rsidRDefault="00CE2C8C">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180D" w14:textId="77777777" w:rsidR="00161C10" w:rsidRDefault="00161C1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77EF" w14:textId="77777777" w:rsidR="00161C10" w:rsidRDefault="00161C1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2128" w14:textId="77777777" w:rsidR="00161C10" w:rsidRDefault="00161C10">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8E56" w14:textId="77777777" w:rsidR="00161C10" w:rsidRDefault="00161C10">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3226" w14:textId="77777777" w:rsidR="00161C10" w:rsidRDefault="00CE2C8C">
    <w:pPr>
      <w:pStyle w:val="BodyText"/>
      <w:spacing w:line="14" w:lineRule="auto"/>
      <w:rPr>
        <w:sz w:val="20"/>
      </w:rPr>
    </w:pPr>
    <w:r>
      <w:rPr>
        <w:noProof/>
        <w:sz w:val="20"/>
      </w:rPr>
      <mc:AlternateContent>
        <mc:Choice Requires="wps">
          <w:drawing>
            <wp:anchor distT="0" distB="0" distL="0" distR="0" simplePos="0" relativeHeight="487124480" behindDoc="1" locked="0" layoutInCell="1" allowOverlap="1" wp14:anchorId="1E51164C" wp14:editId="27D136CE">
              <wp:simplePos x="0" y="0"/>
              <wp:positionH relativeFrom="page">
                <wp:posOffset>3681348</wp:posOffset>
              </wp:positionH>
              <wp:positionV relativeFrom="page">
                <wp:posOffset>9884605</wp:posOffset>
              </wp:positionV>
              <wp:extent cx="140335" cy="13906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39065"/>
                      </a:xfrm>
                      <a:prstGeom prst="rect">
                        <a:avLst/>
                      </a:prstGeom>
                    </wps:spPr>
                    <wps:txbx>
                      <w:txbxContent>
                        <w:p w14:paraId="033AA570" w14:textId="77777777" w:rsidR="00161C10" w:rsidRDefault="00CE2C8C">
                          <w:pPr>
                            <w:spacing w:before="14"/>
                            <w:ind w:left="60"/>
                            <w:rPr>
                              <w:rFonts w:ascii="Times New Roman"/>
                              <w:sz w:val="16"/>
                            </w:rPr>
                          </w:pPr>
                          <w:r>
                            <w:rPr>
                              <w:rFonts w:ascii="Times New Roman"/>
                              <w:spacing w:val="-10"/>
                              <w:sz w:val="16"/>
                            </w:rPr>
                            <w:fldChar w:fldCharType="begin"/>
                          </w:r>
                          <w:r>
                            <w:rPr>
                              <w:rFonts w:ascii="Times New Roman"/>
                              <w:spacing w:val="-10"/>
                              <w:sz w:val="16"/>
                            </w:rPr>
                            <w:instrText xml:space="preserve"> PAGE </w:instrText>
                          </w:r>
                          <w:r>
                            <w:rPr>
                              <w:rFonts w:ascii="Times New Roman"/>
                              <w:spacing w:val="-10"/>
                              <w:sz w:val="16"/>
                            </w:rPr>
                            <w:fldChar w:fldCharType="separate"/>
                          </w:r>
                          <w:r>
                            <w:rPr>
                              <w:rFonts w:ascii="Times New Roman"/>
                              <w:spacing w:val="-10"/>
                              <w:sz w:val="16"/>
                            </w:rPr>
                            <w:t>2</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type w14:anchorId="1E51164C" id="_x0000_t202" coordsize="21600,21600" o:spt="202" path="m,l,21600r21600,l21600,xe">
              <v:stroke joinstyle="miter"/>
              <v:path gradientshapeok="t" o:connecttype="rect"/>
            </v:shapetype>
            <v:shape id="Textbox 63" o:spid="_x0000_s1064" type="#_x0000_t202" style="position:absolute;margin-left:289.85pt;margin-top:778.3pt;width:11.05pt;height:10.95pt;z-index:-1619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" filled="f" stroked="f">
              <v:textbox inset="0,0,0,0">
                <w:txbxContent>
                  <w:p w14:paraId="033AA570" w14:textId="77777777" w:rsidR="00161C10" w:rsidRDefault="00CE2C8C">
                    <w:pPr>
                      <w:spacing w:before="14"/>
                      <w:ind w:left="60"/>
                      <w:rPr>
                        <w:rFonts w:ascii="Times New Roman"/>
                        <w:sz w:val="16"/>
                      </w:rPr>
                    </w:pPr>
                    <w:r>
                      <w:rPr>
                        <w:rFonts w:ascii="Times New Roman"/>
                        <w:spacing w:val="-10"/>
                        <w:sz w:val="16"/>
                      </w:rPr>
                      <w:fldChar w:fldCharType="begin"/>
                    </w:r>
                    <w:r>
                      <w:rPr>
                        <w:rFonts w:ascii="Times New Roman"/>
                        <w:spacing w:val="-10"/>
                        <w:sz w:val="16"/>
                      </w:rPr>
                      <w:instrText xml:space="preserve"> PAGE </w:instrText>
                    </w:r>
                    <w:r>
                      <w:rPr>
                        <w:rFonts w:ascii="Times New Roman"/>
                        <w:spacing w:val="-10"/>
                        <w:sz w:val="16"/>
                      </w:rPr>
                      <w:fldChar w:fldCharType="separate"/>
                    </w:r>
                    <w:r>
                      <w:rPr>
                        <w:rFonts w:ascii="Times New Roman"/>
                        <w:spacing w:val="-10"/>
                        <w:sz w:val="16"/>
                      </w:rPr>
                      <w:t>2</w:t>
                    </w:r>
                    <w:r>
                      <w:rPr>
                        <w:rFonts w:ascii="Times New Roman"/>
                        <w:spacing w:val="-10"/>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9C64" w14:textId="77777777" w:rsidR="00161C10" w:rsidRDefault="00CE2C8C">
    <w:pPr>
      <w:pStyle w:val="BodyText"/>
      <w:spacing w:line="14" w:lineRule="auto"/>
      <w:rPr>
        <w:sz w:val="20"/>
      </w:rPr>
    </w:pPr>
    <w:r>
      <w:rPr>
        <w:noProof/>
        <w:sz w:val="20"/>
      </w:rPr>
      <mc:AlternateContent>
        <mc:Choice Requires="wps">
          <w:drawing>
            <wp:anchor distT="0" distB="0" distL="0" distR="0" simplePos="0" relativeHeight="487124992" behindDoc="1" locked="0" layoutInCell="1" allowOverlap="1" wp14:anchorId="20304478" wp14:editId="76BF7BF1">
              <wp:simplePos x="0" y="0"/>
              <wp:positionH relativeFrom="page">
                <wp:posOffset>418591</wp:posOffset>
              </wp:positionH>
              <wp:positionV relativeFrom="page">
                <wp:posOffset>9883082</wp:posOffset>
              </wp:positionV>
              <wp:extent cx="5031740" cy="27813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1740" cy="278130"/>
                      </a:xfrm>
                      <a:prstGeom prst="rect">
                        <a:avLst/>
                      </a:prstGeom>
                    </wps:spPr>
                    <wps:txbx>
                      <w:txbxContent>
                        <w:p w14:paraId="435E8955" w14:textId="77777777" w:rsidR="00161C10" w:rsidRDefault="00CE2C8C">
                          <w:pPr>
                            <w:spacing w:before="14"/>
                            <w:ind w:left="5205"/>
                            <w:rPr>
                              <w:rFonts w:ascii="Times New Roman"/>
                              <w:sz w:val="16"/>
                            </w:rPr>
                          </w:pPr>
                          <w:r>
                            <w:rPr>
                              <w:rFonts w:ascii="Times New Roman"/>
                              <w:spacing w:val="-10"/>
                              <w:sz w:val="16"/>
                            </w:rPr>
                            <w:fldChar w:fldCharType="begin"/>
                          </w:r>
                          <w:r>
                            <w:rPr>
                              <w:rFonts w:ascii="Times New Roman"/>
                              <w:spacing w:val="-10"/>
                              <w:sz w:val="16"/>
                            </w:rPr>
                            <w:instrText xml:space="preserve"> PAGE </w:instrText>
                          </w:r>
                          <w:r>
                            <w:rPr>
                              <w:rFonts w:ascii="Times New Roman"/>
                              <w:spacing w:val="-10"/>
                              <w:sz w:val="16"/>
                            </w:rPr>
                            <w:fldChar w:fldCharType="separate"/>
                          </w:r>
                          <w:r>
                            <w:rPr>
                              <w:rFonts w:ascii="Times New Roman"/>
                              <w:spacing w:val="-10"/>
                              <w:sz w:val="16"/>
                            </w:rPr>
                            <w:t>4</w:t>
                          </w:r>
                          <w:r>
                            <w:rPr>
                              <w:rFonts w:ascii="Times New Roman"/>
                              <w:spacing w:val="-10"/>
                              <w:sz w:val="16"/>
                            </w:rPr>
                            <w:fldChar w:fldCharType="end"/>
                          </w:r>
                        </w:p>
                        <w:p w14:paraId="1CC75055" w14:textId="77777777" w:rsidR="00161C10" w:rsidRDefault="00CE2C8C">
                          <w:pPr>
                            <w:spacing w:before="26"/>
                            <w:ind w:left="20"/>
                            <w:rPr>
                              <w:rFonts w:ascii="Calibri"/>
                              <w:sz w:val="16"/>
                            </w:rPr>
                          </w:pPr>
                          <w:r>
                            <w:rPr>
                              <w:rFonts w:ascii="Calibri"/>
                              <w:sz w:val="16"/>
                            </w:rPr>
                            <w:t>Electronically</w:t>
                          </w:r>
                          <w:r>
                            <w:rPr>
                              <w:rFonts w:ascii="Calibri"/>
                              <w:spacing w:val="-9"/>
                              <w:sz w:val="16"/>
                            </w:rPr>
                            <w:t xml:space="preserve"> </w:t>
                          </w:r>
                          <w:r>
                            <w:rPr>
                              <w:rFonts w:ascii="Calibri"/>
                              <w:sz w:val="16"/>
                            </w:rPr>
                            <w:t>signed</w:t>
                          </w:r>
                          <w:r>
                            <w:rPr>
                              <w:rFonts w:ascii="Calibri"/>
                              <w:spacing w:val="-8"/>
                              <w:sz w:val="16"/>
                            </w:rPr>
                            <w:t xml:space="preserve"> </w:t>
                          </w:r>
                          <w:r>
                            <w:rPr>
                              <w:rFonts w:ascii="Calibri"/>
                              <w:sz w:val="16"/>
                            </w:rPr>
                            <w:t>on</w:t>
                          </w:r>
                          <w:r>
                            <w:rPr>
                              <w:rFonts w:ascii="Calibri"/>
                              <w:spacing w:val="-7"/>
                              <w:sz w:val="16"/>
                            </w:rPr>
                            <w:t xml:space="preserve"> </w:t>
                          </w:r>
                          <w:r>
                            <w:rPr>
                              <w:rFonts w:ascii="Calibri"/>
                              <w:sz w:val="16"/>
                            </w:rPr>
                            <w:t>30/03/2023</w:t>
                          </w:r>
                          <w:r>
                            <w:rPr>
                              <w:rFonts w:ascii="Calibri"/>
                              <w:spacing w:val="-9"/>
                              <w:sz w:val="16"/>
                            </w:rPr>
                            <w:t xml:space="preserve"> </w:t>
                          </w:r>
                          <w:r>
                            <w:rPr>
                              <w:rFonts w:ascii="Calibri"/>
                              <w:sz w:val="16"/>
                            </w:rPr>
                            <w:t>15:16</w:t>
                          </w:r>
                          <w:r>
                            <w:rPr>
                              <w:rFonts w:ascii="Calibri"/>
                              <w:spacing w:val="-6"/>
                              <w:sz w:val="16"/>
                            </w:rPr>
                            <w:t xml:space="preserve"> </w:t>
                          </w:r>
                          <w:r>
                            <w:rPr>
                              <w:rFonts w:ascii="Calibri"/>
                              <w:sz w:val="16"/>
                            </w:rPr>
                            <w:t>(UTC+02)</w:t>
                          </w:r>
                          <w:r>
                            <w:rPr>
                              <w:rFonts w:ascii="Calibri"/>
                              <w:spacing w:val="-7"/>
                              <w:sz w:val="16"/>
                            </w:rPr>
                            <w:t xml:space="preserve"> </w:t>
                          </w:r>
                          <w:r>
                            <w:rPr>
                              <w:rFonts w:ascii="Calibri"/>
                              <w:sz w:val="16"/>
                            </w:rPr>
                            <w:t>in</w:t>
                          </w:r>
                          <w:r>
                            <w:rPr>
                              <w:rFonts w:ascii="Calibri"/>
                              <w:spacing w:val="-7"/>
                              <w:sz w:val="16"/>
                            </w:rPr>
                            <w:t xml:space="preserve"> </w:t>
                          </w:r>
                          <w:r>
                            <w:rPr>
                              <w:rFonts w:ascii="Calibri"/>
                              <w:sz w:val="16"/>
                            </w:rPr>
                            <w:t>accordance</w:t>
                          </w:r>
                          <w:r>
                            <w:rPr>
                              <w:rFonts w:ascii="Calibri"/>
                              <w:spacing w:val="-9"/>
                              <w:sz w:val="16"/>
                            </w:rPr>
                            <w:t xml:space="preserve"> </w:t>
                          </w:r>
                          <w:r>
                            <w:rPr>
                              <w:rFonts w:ascii="Calibri"/>
                              <w:sz w:val="16"/>
                            </w:rPr>
                            <w:t>with</w:t>
                          </w:r>
                          <w:r>
                            <w:rPr>
                              <w:rFonts w:ascii="Calibri"/>
                              <w:spacing w:val="-7"/>
                              <w:sz w:val="16"/>
                            </w:rPr>
                            <w:t xml:space="preserve"> </w:t>
                          </w:r>
                          <w:r>
                            <w:rPr>
                              <w:rFonts w:ascii="Calibri"/>
                              <w:sz w:val="16"/>
                            </w:rPr>
                            <w:t>Article</w:t>
                          </w:r>
                          <w:r>
                            <w:rPr>
                              <w:rFonts w:ascii="Calibri"/>
                              <w:spacing w:val="-6"/>
                              <w:sz w:val="16"/>
                            </w:rPr>
                            <w:t xml:space="preserve"> </w:t>
                          </w:r>
                          <w:r>
                            <w:rPr>
                              <w:rFonts w:ascii="Calibri"/>
                              <w:sz w:val="16"/>
                            </w:rPr>
                            <w:t>11</w:t>
                          </w:r>
                          <w:r>
                            <w:rPr>
                              <w:rFonts w:ascii="Calibri"/>
                              <w:spacing w:val="-7"/>
                              <w:sz w:val="16"/>
                            </w:rPr>
                            <w:t xml:space="preserve"> </w:t>
                          </w:r>
                          <w:r>
                            <w:rPr>
                              <w:rFonts w:ascii="Calibri"/>
                              <w:sz w:val="16"/>
                            </w:rPr>
                            <w:t>of</w:t>
                          </w:r>
                          <w:r>
                            <w:rPr>
                              <w:rFonts w:ascii="Calibri"/>
                              <w:spacing w:val="-9"/>
                              <w:sz w:val="16"/>
                            </w:rPr>
                            <w:t xml:space="preserve"> </w:t>
                          </w:r>
                          <w:r>
                            <w:rPr>
                              <w:rFonts w:ascii="Calibri"/>
                              <w:sz w:val="16"/>
                            </w:rPr>
                            <w:t>Commission</w:t>
                          </w:r>
                          <w:r>
                            <w:rPr>
                              <w:rFonts w:ascii="Calibri"/>
                              <w:spacing w:val="-7"/>
                              <w:sz w:val="16"/>
                            </w:rPr>
                            <w:t xml:space="preserve"> </w:t>
                          </w:r>
                          <w:r>
                            <w:rPr>
                              <w:rFonts w:ascii="Calibri"/>
                              <w:sz w:val="16"/>
                            </w:rPr>
                            <w:t>Decision</w:t>
                          </w:r>
                          <w:r>
                            <w:rPr>
                              <w:rFonts w:ascii="Calibri"/>
                              <w:spacing w:val="-8"/>
                              <w:sz w:val="16"/>
                            </w:rPr>
                            <w:t xml:space="preserve"> </w:t>
                          </w:r>
                          <w:r>
                            <w:rPr>
                              <w:rFonts w:ascii="Calibri"/>
                              <w:sz w:val="16"/>
                            </w:rPr>
                            <w:t>(EU)</w:t>
                          </w:r>
                          <w:r>
                            <w:rPr>
                              <w:rFonts w:ascii="Calibri"/>
                              <w:spacing w:val="-7"/>
                              <w:sz w:val="16"/>
                            </w:rPr>
                            <w:t xml:space="preserve"> </w:t>
                          </w:r>
                          <w:r>
                            <w:rPr>
                              <w:rFonts w:ascii="Calibri"/>
                              <w:spacing w:val="-2"/>
                              <w:sz w:val="16"/>
                            </w:rPr>
                            <w:t>2021/2121</w:t>
                          </w:r>
                        </w:p>
                      </w:txbxContent>
                    </wps:txbx>
                    <wps:bodyPr wrap="square" lIns="0" tIns="0" rIns="0" bIns="0" rtlCol="0">
                      <a:noAutofit/>
                    </wps:bodyPr>
                  </wps:wsp>
                </a:graphicData>
              </a:graphic>
            </wp:anchor>
          </w:drawing>
        </mc:Choice>
        <mc:Fallback>
          <w:pict>
            <v:shapetype w14:anchorId="20304478" id="_x0000_t202" coordsize="21600,21600" o:spt="202" path="m,l,21600r21600,l21600,xe">
              <v:stroke joinstyle="miter"/>
              <v:path gradientshapeok="t" o:connecttype="rect"/>
            </v:shapetype>
            <v:shape id="Textbox 65" o:spid="_x0000_s1065" type="#_x0000_t202" style="position:absolute;margin-left:32.95pt;margin-top:778.2pt;width:396.2pt;height:21.9pt;z-index:-1619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" filled="f" stroked="f">
              <v:textbox inset="0,0,0,0">
                <w:txbxContent>
                  <w:p w14:paraId="435E8955" w14:textId="77777777" w:rsidR="00161C10" w:rsidRDefault="00CE2C8C">
                    <w:pPr>
                      <w:spacing w:before="14"/>
                      <w:ind w:left="5205"/>
                      <w:rPr>
                        <w:rFonts w:ascii="Times New Roman"/>
                        <w:sz w:val="16"/>
                      </w:rPr>
                    </w:pPr>
                    <w:r>
                      <w:rPr>
                        <w:rFonts w:ascii="Times New Roman"/>
                        <w:spacing w:val="-10"/>
                        <w:sz w:val="16"/>
                      </w:rPr>
                      <w:fldChar w:fldCharType="begin"/>
                    </w:r>
                    <w:r>
                      <w:rPr>
                        <w:rFonts w:ascii="Times New Roman"/>
                        <w:spacing w:val="-10"/>
                        <w:sz w:val="16"/>
                      </w:rPr>
                      <w:instrText xml:space="preserve"> PAGE </w:instrText>
                    </w:r>
                    <w:r>
                      <w:rPr>
                        <w:rFonts w:ascii="Times New Roman"/>
                        <w:spacing w:val="-10"/>
                        <w:sz w:val="16"/>
                      </w:rPr>
                      <w:fldChar w:fldCharType="separate"/>
                    </w:r>
                    <w:r>
                      <w:rPr>
                        <w:rFonts w:ascii="Times New Roman"/>
                        <w:spacing w:val="-10"/>
                        <w:sz w:val="16"/>
                      </w:rPr>
                      <w:t>4</w:t>
                    </w:r>
                    <w:r>
                      <w:rPr>
                        <w:rFonts w:ascii="Times New Roman"/>
                        <w:spacing w:val="-10"/>
                        <w:sz w:val="16"/>
                      </w:rPr>
                      <w:fldChar w:fldCharType="end"/>
                    </w:r>
                  </w:p>
                  <w:p w14:paraId="1CC75055" w14:textId="77777777" w:rsidR="00161C10" w:rsidRDefault="00CE2C8C">
                    <w:pPr>
                      <w:spacing w:before="26"/>
                      <w:ind w:left="20"/>
                      <w:rPr>
                        <w:rFonts w:ascii="Calibri"/>
                        <w:sz w:val="16"/>
                      </w:rPr>
                    </w:pPr>
                    <w:r>
                      <w:rPr>
                        <w:rFonts w:ascii="Calibri"/>
                        <w:sz w:val="16"/>
                      </w:rPr>
                      <w:t>Electronically</w:t>
                    </w:r>
                    <w:r>
                      <w:rPr>
                        <w:rFonts w:ascii="Calibri"/>
                        <w:spacing w:val="-9"/>
                        <w:sz w:val="16"/>
                      </w:rPr>
                      <w:t xml:space="preserve"> </w:t>
                    </w:r>
                    <w:r>
                      <w:rPr>
                        <w:rFonts w:ascii="Calibri"/>
                        <w:sz w:val="16"/>
                      </w:rPr>
                      <w:t>signed</w:t>
                    </w:r>
                    <w:r>
                      <w:rPr>
                        <w:rFonts w:ascii="Calibri"/>
                        <w:spacing w:val="-8"/>
                        <w:sz w:val="16"/>
                      </w:rPr>
                      <w:t xml:space="preserve"> </w:t>
                    </w:r>
                    <w:r>
                      <w:rPr>
                        <w:rFonts w:ascii="Calibri"/>
                        <w:sz w:val="16"/>
                      </w:rPr>
                      <w:t>on</w:t>
                    </w:r>
                    <w:r>
                      <w:rPr>
                        <w:rFonts w:ascii="Calibri"/>
                        <w:spacing w:val="-7"/>
                        <w:sz w:val="16"/>
                      </w:rPr>
                      <w:t xml:space="preserve"> </w:t>
                    </w:r>
                    <w:r>
                      <w:rPr>
                        <w:rFonts w:ascii="Calibri"/>
                        <w:sz w:val="16"/>
                      </w:rPr>
                      <w:t>30/03/2023</w:t>
                    </w:r>
                    <w:r>
                      <w:rPr>
                        <w:rFonts w:ascii="Calibri"/>
                        <w:spacing w:val="-9"/>
                        <w:sz w:val="16"/>
                      </w:rPr>
                      <w:t xml:space="preserve"> </w:t>
                    </w:r>
                    <w:r>
                      <w:rPr>
                        <w:rFonts w:ascii="Calibri"/>
                        <w:sz w:val="16"/>
                      </w:rPr>
                      <w:t>15:16</w:t>
                    </w:r>
                    <w:r>
                      <w:rPr>
                        <w:rFonts w:ascii="Calibri"/>
                        <w:spacing w:val="-6"/>
                        <w:sz w:val="16"/>
                      </w:rPr>
                      <w:t xml:space="preserve"> </w:t>
                    </w:r>
                    <w:r>
                      <w:rPr>
                        <w:rFonts w:ascii="Calibri"/>
                        <w:sz w:val="16"/>
                      </w:rPr>
                      <w:t>(UTC+02)</w:t>
                    </w:r>
                    <w:r>
                      <w:rPr>
                        <w:rFonts w:ascii="Calibri"/>
                        <w:spacing w:val="-7"/>
                        <w:sz w:val="16"/>
                      </w:rPr>
                      <w:t xml:space="preserve"> </w:t>
                    </w:r>
                    <w:r>
                      <w:rPr>
                        <w:rFonts w:ascii="Calibri"/>
                        <w:sz w:val="16"/>
                      </w:rPr>
                      <w:t>in</w:t>
                    </w:r>
                    <w:r>
                      <w:rPr>
                        <w:rFonts w:ascii="Calibri"/>
                        <w:spacing w:val="-7"/>
                        <w:sz w:val="16"/>
                      </w:rPr>
                      <w:t xml:space="preserve"> </w:t>
                    </w:r>
                    <w:r>
                      <w:rPr>
                        <w:rFonts w:ascii="Calibri"/>
                        <w:sz w:val="16"/>
                      </w:rPr>
                      <w:t>accordance</w:t>
                    </w:r>
                    <w:r>
                      <w:rPr>
                        <w:rFonts w:ascii="Calibri"/>
                        <w:spacing w:val="-9"/>
                        <w:sz w:val="16"/>
                      </w:rPr>
                      <w:t xml:space="preserve"> </w:t>
                    </w:r>
                    <w:r>
                      <w:rPr>
                        <w:rFonts w:ascii="Calibri"/>
                        <w:sz w:val="16"/>
                      </w:rPr>
                      <w:t>with</w:t>
                    </w:r>
                    <w:r>
                      <w:rPr>
                        <w:rFonts w:ascii="Calibri"/>
                        <w:spacing w:val="-7"/>
                        <w:sz w:val="16"/>
                      </w:rPr>
                      <w:t xml:space="preserve"> </w:t>
                    </w:r>
                    <w:r>
                      <w:rPr>
                        <w:rFonts w:ascii="Calibri"/>
                        <w:sz w:val="16"/>
                      </w:rPr>
                      <w:t>Article</w:t>
                    </w:r>
                    <w:r>
                      <w:rPr>
                        <w:rFonts w:ascii="Calibri"/>
                        <w:spacing w:val="-6"/>
                        <w:sz w:val="16"/>
                      </w:rPr>
                      <w:t xml:space="preserve"> </w:t>
                    </w:r>
                    <w:r>
                      <w:rPr>
                        <w:rFonts w:ascii="Calibri"/>
                        <w:sz w:val="16"/>
                      </w:rPr>
                      <w:t>11</w:t>
                    </w:r>
                    <w:r>
                      <w:rPr>
                        <w:rFonts w:ascii="Calibri"/>
                        <w:spacing w:val="-7"/>
                        <w:sz w:val="16"/>
                      </w:rPr>
                      <w:t xml:space="preserve"> </w:t>
                    </w:r>
                    <w:r>
                      <w:rPr>
                        <w:rFonts w:ascii="Calibri"/>
                        <w:sz w:val="16"/>
                      </w:rPr>
                      <w:t>of</w:t>
                    </w:r>
                    <w:r>
                      <w:rPr>
                        <w:rFonts w:ascii="Calibri"/>
                        <w:spacing w:val="-9"/>
                        <w:sz w:val="16"/>
                      </w:rPr>
                      <w:t xml:space="preserve"> </w:t>
                    </w:r>
                    <w:r>
                      <w:rPr>
                        <w:rFonts w:ascii="Calibri"/>
                        <w:sz w:val="16"/>
                      </w:rPr>
                      <w:t>Commission</w:t>
                    </w:r>
                    <w:r>
                      <w:rPr>
                        <w:rFonts w:ascii="Calibri"/>
                        <w:spacing w:val="-7"/>
                        <w:sz w:val="16"/>
                      </w:rPr>
                      <w:t xml:space="preserve"> </w:t>
                    </w:r>
                    <w:r>
                      <w:rPr>
                        <w:rFonts w:ascii="Calibri"/>
                        <w:sz w:val="16"/>
                      </w:rPr>
                      <w:t>Decision</w:t>
                    </w:r>
                    <w:r>
                      <w:rPr>
                        <w:rFonts w:ascii="Calibri"/>
                        <w:spacing w:val="-8"/>
                        <w:sz w:val="16"/>
                      </w:rPr>
                      <w:t xml:space="preserve"> </w:t>
                    </w:r>
                    <w:r>
                      <w:rPr>
                        <w:rFonts w:ascii="Calibri"/>
                        <w:sz w:val="16"/>
                      </w:rPr>
                      <w:t>(EU)</w:t>
                    </w:r>
                    <w:r>
                      <w:rPr>
                        <w:rFonts w:ascii="Calibri"/>
                        <w:spacing w:val="-7"/>
                        <w:sz w:val="16"/>
                      </w:rPr>
                      <w:t xml:space="preserve"> </w:t>
                    </w:r>
                    <w:r>
                      <w:rPr>
                        <w:rFonts w:ascii="Calibri"/>
                        <w:spacing w:val="-2"/>
                        <w:sz w:val="16"/>
                      </w:rPr>
                      <w:t>2021/2121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61DA6" w14:textId="77777777" w:rsidR="00822534" w:rsidRDefault="00822534">
      <w:r>
        <w:separator/>
      </w:r>
    </w:p>
  </w:footnote>
  <w:footnote w:type="continuationSeparator" w:id="0">
    <w:p w14:paraId="1EF5D342" w14:textId="77777777" w:rsidR="00822534" w:rsidRDefault="00822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24CB2"/>
    <w:multiLevelType w:val="hybridMultilevel"/>
    <w:tmpl w:val="2A24097E"/>
    <w:lvl w:ilvl="0" w:tplc="698C848C">
      <w:numFmt w:val="bullet"/>
      <w:lvlText w:val="●"/>
      <w:lvlJc w:val="left"/>
      <w:pPr>
        <w:ind w:left="1080" w:hanging="360"/>
      </w:pPr>
      <w:rPr>
        <w:rFonts w:ascii="Arial MT" w:eastAsia="Arial MT" w:hAnsi="Arial MT" w:cs="Arial MT" w:hint="default"/>
        <w:b w:val="0"/>
        <w:bCs w:val="0"/>
        <w:i w:val="0"/>
        <w:iCs w:val="0"/>
        <w:spacing w:val="0"/>
        <w:w w:val="60"/>
        <w:sz w:val="24"/>
        <w:szCs w:val="24"/>
        <w:lang w:val="en-US" w:eastAsia="en-US" w:bidi="ar-SA"/>
      </w:rPr>
    </w:lvl>
    <w:lvl w:ilvl="1" w:tplc="84E265CA">
      <w:numFmt w:val="bullet"/>
      <w:lvlText w:val="•"/>
      <w:lvlJc w:val="left"/>
      <w:pPr>
        <w:ind w:left="1980" w:hanging="360"/>
      </w:pPr>
      <w:rPr>
        <w:rFonts w:hint="default"/>
        <w:lang w:val="en-US" w:eastAsia="en-US" w:bidi="ar-SA"/>
      </w:rPr>
    </w:lvl>
    <w:lvl w:ilvl="2" w:tplc="65062E8E">
      <w:numFmt w:val="bullet"/>
      <w:lvlText w:val="•"/>
      <w:lvlJc w:val="left"/>
      <w:pPr>
        <w:ind w:left="2880" w:hanging="360"/>
      </w:pPr>
      <w:rPr>
        <w:rFonts w:hint="default"/>
        <w:lang w:val="en-US" w:eastAsia="en-US" w:bidi="ar-SA"/>
      </w:rPr>
    </w:lvl>
    <w:lvl w:ilvl="3" w:tplc="8BA479E6">
      <w:numFmt w:val="bullet"/>
      <w:lvlText w:val="•"/>
      <w:lvlJc w:val="left"/>
      <w:pPr>
        <w:ind w:left="3780" w:hanging="360"/>
      </w:pPr>
      <w:rPr>
        <w:rFonts w:hint="default"/>
        <w:lang w:val="en-US" w:eastAsia="en-US" w:bidi="ar-SA"/>
      </w:rPr>
    </w:lvl>
    <w:lvl w:ilvl="4" w:tplc="DC36BA06">
      <w:numFmt w:val="bullet"/>
      <w:lvlText w:val="•"/>
      <w:lvlJc w:val="left"/>
      <w:pPr>
        <w:ind w:left="4680" w:hanging="360"/>
      </w:pPr>
      <w:rPr>
        <w:rFonts w:hint="default"/>
        <w:lang w:val="en-US" w:eastAsia="en-US" w:bidi="ar-SA"/>
      </w:rPr>
    </w:lvl>
    <w:lvl w:ilvl="5" w:tplc="26A61EA2">
      <w:numFmt w:val="bullet"/>
      <w:lvlText w:val="•"/>
      <w:lvlJc w:val="left"/>
      <w:pPr>
        <w:ind w:left="5580" w:hanging="360"/>
      </w:pPr>
      <w:rPr>
        <w:rFonts w:hint="default"/>
        <w:lang w:val="en-US" w:eastAsia="en-US" w:bidi="ar-SA"/>
      </w:rPr>
    </w:lvl>
    <w:lvl w:ilvl="6" w:tplc="A7781E2A">
      <w:numFmt w:val="bullet"/>
      <w:lvlText w:val="•"/>
      <w:lvlJc w:val="left"/>
      <w:pPr>
        <w:ind w:left="6480" w:hanging="360"/>
      </w:pPr>
      <w:rPr>
        <w:rFonts w:hint="default"/>
        <w:lang w:val="en-US" w:eastAsia="en-US" w:bidi="ar-SA"/>
      </w:rPr>
    </w:lvl>
    <w:lvl w:ilvl="7" w:tplc="AD401F2A">
      <w:numFmt w:val="bullet"/>
      <w:lvlText w:val="•"/>
      <w:lvlJc w:val="left"/>
      <w:pPr>
        <w:ind w:left="7380" w:hanging="360"/>
      </w:pPr>
      <w:rPr>
        <w:rFonts w:hint="default"/>
        <w:lang w:val="en-US" w:eastAsia="en-US" w:bidi="ar-SA"/>
      </w:rPr>
    </w:lvl>
    <w:lvl w:ilvl="8" w:tplc="F586D8F4">
      <w:numFmt w:val="bullet"/>
      <w:lvlText w:val="•"/>
      <w:lvlJc w:val="left"/>
      <w:pPr>
        <w:ind w:left="8280" w:hanging="360"/>
      </w:pPr>
      <w:rPr>
        <w:rFonts w:hint="default"/>
        <w:lang w:val="en-US" w:eastAsia="en-US" w:bidi="ar-SA"/>
      </w:rPr>
    </w:lvl>
  </w:abstractNum>
  <w:abstractNum w:abstractNumId="1" w15:restartNumberingAfterBreak="0">
    <w:nsid w:val="1F5838A4"/>
    <w:multiLevelType w:val="hybridMultilevel"/>
    <w:tmpl w:val="7186C2FA"/>
    <w:lvl w:ilvl="0" w:tplc="88EC542C">
      <w:numFmt w:val="bullet"/>
      <w:lvlText w:val=""/>
      <w:lvlJc w:val="left"/>
      <w:pPr>
        <w:ind w:left="1073" w:hanging="356"/>
      </w:pPr>
      <w:rPr>
        <w:rFonts w:ascii="Symbol" w:eastAsia="Symbol" w:hAnsi="Symbol" w:cs="Symbol" w:hint="default"/>
        <w:b w:val="0"/>
        <w:bCs w:val="0"/>
        <w:i w:val="0"/>
        <w:iCs w:val="0"/>
        <w:spacing w:val="0"/>
        <w:w w:val="100"/>
        <w:sz w:val="24"/>
        <w:szCs w:val="24"/>
        <w:lang w:val="en-US" w:eastAsia="en-US" w:bidi="ar-SA"/>
      </w:rPr>
    </w:lvl>
    <w:lvl w:ilvl="1" w:tplc="9E104AC4">
      <w:numFmt w:val="bullet"/>
      <w:lvlText w:val="•"/>
      <w:lvlJc w:val="left"/>
      <w:pPr>
        <w:ind w:left="1980" w:hanging="356"/>
      </w:pPr>
      <w:rPr>
        <w:rFonts w:hint="default"/>
        <w:lang w:val="en-US" w:eastAsia="en-US" w:bidi="ar-SA"/>
      </w:rPr>
    </w:lvl>
    <w:lvl w:ilvl="2" w:tplc="AAAACC14">
      <w:numFmt w:val="bullet"/>
      <w:lvlText w:val="•"/>
      <w:lvlJc w:val="left"/>
      <w:pPr>
        <w:ind w:left="2880" w:hanging="356"/>
      </w:pPr>
      <w:rPr>
        <w:rFonts w:hint="default"/>
        <w:lang w:val="en-US" w:eastAsia="en-US" w:bidi="ar-SA"/>
      </w:rPr>
    </w:lvl>
    <w:lvl w:ilvl="3" w:tplc="CF2EB66C">
      <w:numFmt w:val="bullet"/>
      <w:lvlText w:val="•"/>
      <w:lvlJc w:val="left"/>
      <w:pPr>
        <w:ind w:left="3780" w:hanging="356"/>
      </w:pPr>
      <w:rPr>
        <w:rFonts w:hint="default"/>
        <w:lang w:val="en-US" w:eastAsia="en-US" w:bidi="ar-SA"/>
      </w:rPr>
    </w:lvl>
    <w:lvl w:ilvl="4" w:tplc="E9700C68">
      <w:numFmt w:val="bullet"/>
      <w:lvlText w:val="•"/>
      <w:lvlJc w:val="left"/>
      <w:pPr>
        <w:ind w:left="4680" w:hanging="356"/>
      </w:pPr>
      <w:rPr>
        <w:rFonts w:hint="default"/>
        <w:lang w:val="en-US" w:eastAsia="en-US" w:bidi="ar-SA"/>
      </w:rPr>
    </w:lvl>
    <w:lvl w:ilvl="5" w:tplc="4C7229A6">
      <w:numFmt w:val="bullet"/>
      <w:lvlText w:val="•"/>
      <w:lvlJc w:val="left"/>
      <w:pPr>
        <w:ind w:left="5580" w:hanging="356"/>
      </w:pPr>
      <w:rPr>
        <w:rFonts w:hint="default"/>
        <w:lang w:val="en-US" w:eastAsia="en-US" w:bidi="ar-SA"/>
      </w:rPr>
    </w:lvl>
    <w:lvl w:ilvl="6" w:tplc="1F3CBA84">
      <w:numFmt w:val="bullet"/>
      <w:lvlText w:val="•"/>
      <w:lvlJc w:val="left"/>
      <w:pPr>
        <w:ind w:left="6480" w:hanging="356"/>
      </w:pPr>
      <w:rPr>
        <w:rFonts w:hint="default"/>
        <w:lang w:val="en-US" w:eastAsia="en-US" w:bidi="ar-SA"/>
      </w:rPr>
    </w:lvl>
    <w:lvl w:ilvl="7" w:tplc="FD8A1CAC">
      <w:numFmt w:val="bullet"/>
      <w:lvlText w:val="•"/>
      <w:lvlJc w:val="left"/>
      <w:pPr>
        <w:ind w:left="7380" w:hanging="356"/>
      </w:pPr>
      <w:rPr>
        <w:rFonts w:hint="default"/>
        <w:lang w:val="en-US" w:eastAsia="en-US" w:bidi="ar-SA"/>
      </w:rPr>
    </w:lvl>
    <w:lvl w:ilvl="8" w:tplc="3A0AE85E">
      <w:numFmt w:val="bullet"/>
      <w:lvlText w:val="•"/>
      <w:lvlJc w:val="left"/>
      <w:pPr>
        <w:ind w:left="8280" w:hanging="356"/>
      </w:pPr>
      <w:rPr>
        <w:rFonts w:hint="default"/>
        <w:lang w:val="en-US" w:eastAsia="en-US" w:bidi="ar-SA"/>
      </w:rPr>
    </w:lvl>
  </w:abstractNum>
  <w:abstractNum w:abstractNumId="2" w15:restartNumberingAfterBreak="0">
    <w:nsid w:val="311B1474"/>
    <w:multiLevelType w:val="hybridMultilevel"/>
    <w:tmpl w:val="AF4C7B26"/>
    <w:lvl w:ilvl="0" w:tplc="FE9069A2">
      <w:start w:val="1"/>
      <w:numFmt w:val="upperRoman"/>
      <w:lvlText w:val="%1."/>
      <w:lvlJc w:val="left"/>
      <w:pPr>
        <w:ind w:left="1080" w:hanging="584"/>
        <w:jc w:val="right"/>
      </w:pPr>
      <w:rPr>
        <w:rFonts w:ascii="Arial MT" w:eastAsia="Arial MT" w:hAnsi="Arial MT" w:cs="Arial MT" w:hint="default"/>
        <w:b w:val="0"/>
        <w:bCs w:val="0"/>
        <w:i w:val="0"/>
        <w:iCs w:val="0"/>
        <w:spacing w:val="-2"/>
        <w:w w:val="100"/>
        <w:sz w:val="40"/>
        <w:szCs w:val="40"/>
        <w:lang w:val="en-US" w:eastAsia="en-US" w:bidi="ar-SA"/>
      </w:rPr>
    </w:lvl>
    <w:lvl w:ilvl="1" w:tplc="F6549BAE">
      <w:numFmt w:val="bullet"/>
      <w:lvlText w:val="•"/>
      <w:lvlJc w:val="left"/>
      <w:pPr>
        <w:ind w:left="1980" w:hanging="584"/>
      </w:pPr>
      <w:rPr>
        <w:rFonts w:hint="default"/>
        <w:lang w:val="en-US" w:eastAsia="en-US" w:bidi="ar-SA"/>
      </w:rPr>
    </w:lvl>
    <w:lvl w:ilvl="2" w:tplc="D736EC9A">
      <w:numFmt w:val="bullet"/>
      <w:lvlText w:val="•"/>
      <w:lvlJc w:val="left"/>
      <w:pPr>
        <w:ind w:left="2880" w:hanging="584"/>
      </w:pPr>
      <w:rPr>
        <w:rFonts w:hint="default"/>
        <w:lang w:val="en-US" w:eastAsia="en-US" w:bidi="ar-SA"/>
      </w:rPr>
    </w:lvl>
    <w:lvl w:ilvl="3" w:tplc="85382CB4">
      <w:numFmt w:val="bullet"/>
      <w:lvlText w:val="•"/>
      <w:lvlJc w:val="left"/>
      <w:pPr>
        <w:ind w:left="3780" w:hanging="584"/>
      </w:pPr>
      <w:rPr>
        <w:rFonts w:hint="default"/>
        <w:lang w:val="en-US" w:eastAsia="en-US" w:bidi="ar-SA"/>
      </w:rPr>
    </w:lvl>
    <w:lvl w:ilvl="4" w:tplc="70060C22">
      <w:numFmt w:val="bullet"/>
      <w:lvlText w:val="•"/>
      <w:lvlJc w:val="left"/>
      <w:pPr>
        <w:ind w:left="4680" w:hanging="584"/>
      </w:pPr>
      <w:rPr>
        <w:rFonts w:hint="default"/>
        <w:lang w:val="en-US" w:eastAsia="en-US" w:bidi="ar-SA"/>
      </w:rPr>
    </w:lvl>
    <w:lvl w:ilvl="5" w:tplc="C6E00EC0">
      <w:numFmt w:val="bullet"/>
      <w:lvlText w:val="•"/>
      <w:lvlJc w:val="left"/>
      <w:pPr>
        <w:ind w:left="5580" w:hanging="584"/>
      </w:pPr>
      <w:rPr>
        <w:rFonts w:hint="default"/>
        <w:lang w:val="en-US" w:eastAsia="en-US" w:bidi="ar-SA"/>
      </w:rPr>
    </w:lvl>
    <w:lvl w:ilvl="6" w:tplc="4FE20230">
      <w:numFmt w:val="bullet"/>
      <w:lvlText w:val="•"/>
      <w:lvlJc w:val="left"/>
      <w:pPr>
        <w:ind w:left="6480" w:hanging="584"/>
      </w:pPr>
      <w:rPr>
        <w:rFonts w:hint="default"/>
        <w:lang w:val="en-US" w:eastAsia="en-US" w:bidi="ar-SA"/>
      </w:rPr>
    </w:lvl>
    <w:lvl w:ilvl="7" w:tplc="6EE0FF54">
      <w:numFmt w:val="bullet"/>
      <w:lvlText w:val="•"/>
      <w:lvlJc w:val="left"/>
      <w:pPr>
        <w:ind w:left="7380" w:hanging="584"/>
      </w:pPr>
      <w:rPr>
        <w:rFonts w:hint="default"/>
        <w:lang w:val="en-US" w:eastAsia="en-US" w:bidi="ar-SA"/>
      </w:rPr>
    </w:lvl>
    <w:lvl w:ilvl="8" w:tplc="D96449B0">
      <w:numFmt w:val="bullet"/>
      <w:lvlText w:val="•"/>
      <w:lvlJc w:val="left"/>
      <w:pPr>
        <w:ind w:left="8280" w:hanging="584"/>
      </w:pPr>
      <w:rPr>
        <w:rFonts w:hint="default"/>
        <w:lang w:val="en-US" w:eastAsia="en-US" w:bidi="ar-SA"/>
      </w:rPr>
    </w:lvl>
  </w:abstractNum>
  <w:abstractNum w:abstractNumId="3" w15:restartNumberingAfterBreak="0">
    <w:nsid w:val="314732B8"/>
    <w:multiLevelType w:val="hybridMultilevel"/>
    <w:tmpl w:val="E476319A"/>
    <w:lvl w:ilvl="0" w:tplc="0B504576">
      <w:start w:val="1"/>
      <w:numFmt w:val="decimal"/>
      <w:pStyle w:val="Heading2"/>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3572201C"/>
    <w:multiLevelType w:val="multilevel"/>
    <w:tmpl w:val="0602C5C0"/>
    <w:lvl w:ilvl="0">
      <w:start w:val="3"/>
      <w:numFmt w:val="decimal"/>
      <w:lvlText w:val="%1"/>
      <w:lvlJc w:val="left"/>
      <w:pPr>
        <w:ind w:left="981" w:hanging="622"/>
      </w:pPr>
      <w:rPr>
        <w:rFonts w:hint="default"/>
        <w:lang w:val="en-US" w:eastAsia="en-US" w:bidi="ar-SA"/>
      </w:rPr>
    </w:lvl>
    <w:lvl w:ilvl="1">
      <w:start w:val="1"/>
      <w:numFmt w:val="decimal"/>
      <w:lvlText w:val="%1.%2."/>
      <w:lvlJc w:val="left"/>
      <w:pPr>
        <w:ind w:left="981" w:hanging="622"/>
      </w:pPr>
      <w:rPr>
        <w:rFonts w:ascii="Arial MT" w:eastAsia="Arial MT" w:hAnsi="Arial MT" w:cs="Arial MT" w:hint="default"/>
        <w:b w:val="0"/>
        <w:bCs w:val="0"/>
        <w:i w:val="0"/>
        <w:iCs w:val="0"/>
        <w:spacing w:val="0"/>
        <w:w w:val="99"/>
        <w:sz w:val="32"/>
        <w:szCs w:val="32"/>
        <w:lang w:val="en-US" w:eastAsia="en-US" w:bidi="ar-SA"/>
      </w:rPr>
    </w:lvl>
    <w:lvl w:ilvl="2">
      <w:start w:val="1"/>
      <w:numFmt w:val="decimal"/>
      <w:lvlText w:val="%1.%2.%3."/>
      <w:lvlJc w:val="left"/>
      <w:pPr>
        <w:ind w:left="1139" w:hanging="780"/>
      </w:pPr>
      <w:rPr>
        <w:rFonts w:ascii="Arial MT" w:eastAsia="Arial MT" w:hAnsi="Arial MT" w:cs="Arial MT" w:hint="default"/>
        <w:b w:val="0"/>
        <w:bCs w:val="0"/>
        <w:i w:val="0"/>
        <w:iCs w:val="0"/>
        <w:spacing w:val="-3"/>
        <w:w w:val="100"/>
        <w:sz w:val="28"/>
        <w:szCs w:val="28"/>
        <w:lang w:val="en-US" w:eastAsia="en-US" w:bidi="ar-SA"/>
      </w:rPr>
    </w:lvl>
    <w:lvl w:ilvl="3">
      <w:numFmt w:val="bullet"/>
      <w:lvlText w:val=""/>
      <w:lvlJc w:val="left"/>
      <w:pPr>
        <w:ind w:left="1073" w:hanging="356"/>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3375" w:hanging="356"/>
      </w:pPr>
      <w:rPr>
        <w:rFonts w:hint="default"/>
        <w:lang w:val="en-US" w:eastAsia="en-US" w:bidi="ar-SA"/>
      </w:rPr>
    </w:lvl>
    <w:lvl w:ilvl="5">
      <w:numFmt w:val="bullet"/>
      <w:lvlText w:val="•"/>
      <w:lvlJc w:val="left"/>
      <w:pPr>
        <w:ind w:left="4492" w:hanging="356"/>
      </w:pPr>
      <w:rPr>
        <w:rFonts w:hint="default"/>
        <w:lang w:val="en-US" w:eastAsia="en-US" w:bidi="ar-SA"/>
      </w:rPr>
    </w:lvl>
    <w:lvl w:ilvl="6">
      <w:numFmt w:val="bullet"/>
      <w:lvlText w:val="•"/>
      <w:lvlJc w:val="left"/>
      <w:pPr>
        <w:ind w:left="5610" w:hanging="356"/>
      </w:pPr>
      <w:rPr>
        <w:rFonts w:hint="default"/>
        <w:lang w:val="en-US" w:eastAsia="en-US" w:bidi="ar-SA"/>
      </w:rPr>
    </w:lvl>
    <w:lvl w:ilvl="7">
      <w:numFmt w:val="bullet"/>
      <w:lvlText w:val="•"/>
      <w:lvlJc w:val="left"/>
      <w:pPr>
        <w:ind w:left="6727" w:hanging="356"/>
      </w:pPr>
      <w:rPr>
        <w:rFonts w:hint="default"/>
        <w:lang w:val="en-US" w:eastAsia="en-US" w:bidi="ar-SA"/>
      </w:rPr>
    </w:lvl>
    <w:lvl w:ilvl="8">
      <w:numFmt w:val="bullet"/>
      <w:lvlText w:val="•"/>
      <w:lvlJc w:val="left"/>
      <w:pPr>
        <w:ind w:left="7845" w:hanging="356"/>
      </w:pPr>
      <w:rPr>
        <w:rFonts w:hint="default"/>
        <w:lang w:val="en-US" w:eastAsia="en-US" w:bidi="ar-SA"/>
      </w:rPr>
    </w:lvl>
  </w:abstractNum>
  <w:abstractNum w:abstractNumId="5" w15:restartNumberingAfterBreak="0">
    <w:nsid w:val="367A21D3"/>
    <w:multiLevelType w:val="hybridMultilevel"/>
    <w:tmpl w:val="B90ED7F4"/>
    <w:lvl w:ilvl="0" w:tplc="44C483DE">
      <w:numFmt w:val="bullet"/>
      <w:lvlText w:val="-"/>
      <w:lvlJc w:val="left"/>
      <w:pPr>
        <w:ind w:left="1056" w:hanging="360"/>
      </w:pPr>
      <w:rPr>
        <w:rFonts w:ascii="Calibri" w:eastAsia="Calibri" w:hAnsi="Calibri" w:cs="Calibri" w:hint="default"/>
        <w:b w:val="0"/>
        <w:bCs w:val="0"/>
        <w:i w:val="0"/>
        <w:iCs w:val="0"/>
        <w:spacing w:val="0"/>
        <w:w w:val="100"/>
        <w:sz w:val="22"/>
        <w:szCs w:val="22"/>
        <w:lang w:val="en-US" w:eastAsia="en-US" w:bidi="ar-SA"/>
      </w:rPr>
    </w:lvl>
    <w:lvl w:ilvl="1" w:tplc="7F7AF48A">
      <w:numFmt w:val="bullet"/>
      <w:lvlText w:val="o"/>
      <w:lvlJc w:val="left"/>
      <w:pPr>
        <w:ind w:left="1776" w:hanging="360"/>
      </w:pPr>
      <w:rPr>
        <w:rFonts w:ascii="Courier New" w:eastAsia="Courier New" w:hAnsi="Courier New" w:cs="Courier New" w:hint="default"/>
        <w:b w:val="0"/>
        <w:bCs w:val="0"/>
        <w:i w:val="0"/>
        <w:iCs w:val="0"/>
        <w:spacing w:val="0"/>
        <w:w w:val="100"/>
        <w:sz w:val="22"/>
        <w:szCs w:val="22"/>
        <w:lang w:val="en-US" w:eastAsia="en-US" w:bidi="ar-SA"/>
      </w:rPr>
    </w:lvl>
    <w:lvl w:ilvl="2" w:tplc="0F8CC6D8">
      <w:numFmt w:val="bullet"/>
      <w:lvlText w:val="•"/>
      <w:lvlJc w:val="left"/>
      <w:pPr>
        <w:ind w:left="2745" w:hanging="360"/>
      </w:pPr>
      <w:rPr>
        <w:rFonts w:hint="default"/>
        <w:lang w:val="en-US" w:eastAsia="en-US" w:bidi="ar-SA"/>
      </w:rPr>
    </w:lvl>
    <w:lvl w:ilvl="3" w:tplc="CC8A43BA">
      <w:numFmt w:val="bullet"/>
      <w:lvlText w:val="•"/>
      <w:lvlJc w:val="left"/>
      <w:pPr>
        <w:ind w:left="3711" w:hanging="360"/>
      </w:pPr>
      <w:rPr>
        <w:rFonts w:hint="default"/>
        <w:lang w:val="en-US" w:eastAsia="en-US" w:bidi="ar-SA"/>
      </w:rPr>
    </w:lvl>
    <w:lvl w:ilvl="4" w:tplc="92B6DD2C">
      <w:numFmt w:val="bullet"/>
      <w:lvlText w:val="•"/>
      <w:lvlJc w:val="left"/>
      <w:pPr>
        <w:ind w:left="4677" w:hanging="360"/>
      </w:pPr>
      <w:rPr>
        <w:rFonts w:hint="default"/>
        <w:lang w:val="en-US" w:eastAsia="en-US" w:bidi="ar-SA"/>
      </w:rPr>
    </w:lvl>
    <w:lvl w:ilvl="5" w:tplc="96781C96">
      <w:numFmt w:val="bullet"/>
      <w:lvlText w:val="•"/>
      <w:lvlJc w:val="left"/>
      <w:pPr>
        <w:ind w:left="5642" w:hanging="360"/>
      </w:pPr>
      <w:rPr>
        <w:rFonts w:hint="default"/>
        <w:lang w:val="en-US" w:eastAsia="en-US" w:bidi="ar-SA"/>
      </w:rPr>
    </w:lvl>
    <w:lvl w:ilvl="6" w:tplc="FDFA0454">
      <w:numFmt w:val="bullet"/>
      <w:lvlText w:val="•"/>
      <w:lvlJc w:val="left"/>
      <w:pPr>
        <w:ind w:left="6608" w:hanging="360"/>
      </w:pPr>
      <w:rPr>
        <w:rFonts w:hint="default"/>
        <w:lang w:val="en-US" w:eastAsia="en-US" w:bidi="ar-SA"/>
      </w:rPr>
    </w:lvl>
    <w:lvl w:ilvl="7" w:tplc="46769D10">
      <w:numFmt w:val="bullet"/>
      <w:lvlText w:val="•"/>
      <w:lvlJc w:val="left"/>
      <w:pPr>
        <w:ind w:left="7574" w:hanging="360"/>
      </w:pPr>
      <w:rPr>
        <w:rFonts w:hint="default"/>
        <w:lang w:val="en-US" w:eastAsia="en-US" w:bidi="ar-SA"/>
      </w:rPr>
    </w:lvl>
    <w:lvl w:ilvl="8" w:tplc="D6E49ABC">
      <w:numFmt w:val="bullet"/>
      <w:lvlText w:val="•"/>
      <w:lvlJc w:val="left"/>
      <w:pPr>
        <w:ind w:left="8539" w:hanging="360"/>
      </w:pPr>
      <w:rPr>
        <w:rFonts w:hint="default"/>
        <w:lang w:val="en-US" w:eastAsia="en-US" w:bidi="ar-SA"/>
      </w:rPr>
    </w:lvl>
  </w:abstractNum>
  <w:abstractNum w:abstractNumId="6" w15:restartNumberingAfterBreak="0">
    <w:nsid w:val="37DF1BCA"/>
    <w:multiLevelType w:val="hybridMultilevel"/>
    <w:tmpl w:val="992E12DC"/>
    <w:lvl w:ilvl="0" w:tplc="D90EA6B0">
      <w:numFmt w:val="bullet"/>
      <w:lvlText w:val=""/>
      <w:lvlJc w:val="left"/>
      <w:pPr>
        <w:ind w:left="1073" w:hanging="356"/>
      </w:pPr>
      <w:rPr>
        <w:rFonts w:ascii="Symbol" w:eastAsia="Symbol" w:hAnsi="Symbol" w:cs="Symbol" w:hint="default"/>
        <w:b w:val="0"/>
        <w:bCs w:val="0"/>
        <w:i w:val="0"/>
        <w:iCs w:val="0"/>
        <w:spacing w:val="0"/>
        <w:w w:val="100"/>
        <w:sz w:val="24"/>
        <w:szCs w:val="24"/>
        <w:lang w:val="en-US" w:eastAsia="en-US" w:bidi="ar-SA"/>
      </w:rPr>
    </w:lvl>
    <w:lvl w:ilvl="1" w:tplc="20F26436">
      <w:numFmt w:val="bullet"/>
      <w:lvlText w:val="•"/>
      <w:lvlJc w:val="left"/>
      <w:pPr>
        <w:ind w:left="1980" w:hanging="356"/>
      </w:pPr>
      <w:rPr>
        <w:rFonts w:hint="default"/>
        <w:lang w:val="en-US" w:eastAsia="en-US" w:bidi="ar-SA"/>
      </w:rPr>
    </w:lvl>
    <w:lvl w:ilvl="2" w:tplc="08143CA4">
      <w:numFmt w:val="bullet"/>
      <w:lvlText w:val="•"/>
      <w:lvlJc w:val="left"/>
      <w:pPr>
        <w:ind w:left="2880" w:hanging="356"/>
      </w:pPr>
      <w:rPr>
        <w:rFonts w:hint="default"/>
        <w:lang w:val="en-US" w:eastAsia="en-US" w:bidi="ar-SA"/>
      </w:rPr>
    </w:lvl>
    <w:lvl w:ilvl="3" w:tplc="DC264678">
      <w:numFmt w:val="bullet"/>
      <w:lvlText w:val="•"/>
      <w:lvlJc w:val="left"/>
      <w:pPr>
        <w:ind w:left="3780" w:hanging="356"/>
      </w:pPr>
      <w:rPr>
        <w:rFonts w:hint="default"/>
        <w:lang w:val="en-US" w:eastAsia="en-US" w:bidi="ar-SA"/>
      </w:rPr>
    </w:lvl>
    <w:lvl w:ilvl="4" w:tplc="B7501E42">
      <w:numFmt w:val="bullet"/>
      <w:lvlText w:val="•"/>
      <w:lvlJc w:val="left"/>
      <w:pPr>
        <w:ind w:left="4680" w:hanging="356"/>
      </w:pPr>
      <w:rPr>
        <w:rFonts w:hint="default"/>
        <w:lang w:val="en-US" w:eastAsia="en-US" w:bidi="ar-SA"/>
      </w:rPr>
    </w:lvl>
    <w:lvl w:ilvl="5" w:tplc="45B0D462">
      <w:numFmt w:val="bullet"/>
      <w:lvlText w:val="•"/>
      <w:lvlJc w:val="left"/>
      <w:pPr>
        <w:ind w:left="5580" w:hanging="356"/>
      </w:pPr>
      <w:rPr>
        <w:rFonts w:hint="default"/>
        <w:lang w:val="en-US" w:eastAsia="en-US" w:bidi="ar-SA"/>
      </w:rPr>
    </w:lvl>
    <w:lvl w:ilvl="6" w:tplc="47A4CA36">
      <w:numFmt w:val="bullet"/>
      <w:lvlText w:val="•"/>
      <w:lvlJc w:val="left"/>
      <w:pPr>
        <w:ind w:left="6480" w:hanging="356"/>
      </w:pPr>
      <w:rPr>
        <w:rFonts w:hint="default"/>
        <w:lang w:val="en-US" w:eastAsia="en-US" w:bidi="ar-SA"/>
      </w:rPr>
    </w:lvl>
    <w:lvl w:ilvl="7" w:tplc="FF9000D8">
      <w:numFmt w:val="bullet"/>
      <w:lvlText w:val="•"/>
      <w:lvlJc w:val="left"/>
      <w:pPr>
        <w:ind w:left="7380" w:hanging="356"/>
      </w:pPr>
      <w:rPr>
        <w:rFonts w:hint="default"/>
        <w:lang w:val="en-US" w:eastAsia="en-US" w:bidi="ar-SA"/>
      </w:rPr>
    </w:lvl>
    <w:lvl w:ilvl="8" w:tplc="B14653BA">
      <w:numFmt w:val="bullet"/>
      <w:lvlText w:val="•"/>
      <w:lvlJc w:val="left"/>
      <w:pPr>
        <w:ind w:left="8280" w:hanging="356"/>
      </w:pPr>
      <w:rPr>
        <w:rFonts w:hint="default"/>
        <w:lang w:val="en-US" w:eastAsia="en-US" w:bidi="ar-SA"/>
      </w:rPr>
    </w:lvl>
  </w:abstractNum>
  <w:abstractNum w:abstractNumId="7" w15:restartNumberingAfterBreak="0">
    <w:nsid w:val="3DAC2D65"/>
    <w:multiLevelType w:val="multilevel"/>
    <w:tmpl w:val="7E32C490"/>
    <w:lvl w:ilvl="0">
      <w:start w:val="1"/>
      <w:numFmt w:val="upperRoman"/>
      <w:pStyle w:val="Heading1"/>
      <w:lvlText w:val="%1."/>
      <w:lvlJc w:val="righ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8" w15:restartNumberingAfterBreak="0">
    <w:nsid w:val="452C5E8C"/>
    <w:multiLevelType w:val="hybridMultilevel"/>
    <w:tmpl w:val="EE561E88"/>
    <w:lvl w:ilvl="0" w:tplc="C3EA69D6">
      <w:start w:val="1"/>
      <w:numFmt w:val="decimal"/>
      <w:lvlText w:val="%1."/>
      <w:lvlJc w:val="left"/>
      <w:pPr>
        <w:ind w:left="1054" w:hanging="360"/>
        <w:jc w:val="right"/>
      </w:pPr>
      <w:rPr>
        <w:rFonts w:ascii="Calibri" w:eastAsia="Calibri" w:hAnsi="Calibri" w:cs="Calibri" w:hint="default"/>
        <w:b/>
        <w:bCs/>
        <w:i w:val="0"/>
        <w:iCs w:val="0"/>
        <w:spacing w:val="-2"/>
        <w:w w:val="100"/>
        <w:sz w:val="22"/>
        <w:szCs w:val="22"/>
        <w:lang w:val="en-US" w:eastAsia="en-US" w:bidi="ar-SA"/>
      </w:rPr>
    </w:lvl>
    <w:lvl w:ilvl="1" w:tplc="A59272B4">
      <w:start w:val="1"/>
      <w:numFmt w:val="decimal"/>
      <w:lvlText w:val="(%2)"/>
      <w:lvlJc w:val="left"/>
      <w:pPr>
        <w:ind w:left="787" w:hanging="284"/>
      </w:pPr>
      <w:rPr>
        <w:rFonts w:hint="default"/>
        <w:spacing w:val="0"/>
        <w:w w:val="96"/>
        <w:lang w:val="en-US" w:eastAsia="en-US" w:bidi="ar-SA"/>
      </w:rPr>
    </w:lvl>
    <w:lvl w:ilvl="2" w:tplc="E7401188">
      <w:numFmt w:val="bullet"/>
      <w:lvlText w:val="•"/>
      <w:lvlJc w:val="left"/>
      <w:pPr>
        <w:ind w:left="2105" w:hanging="284"/>
      </w:pPr>
      <w:rPr>
        <w:rFonts w:hint="default"/>
        <w:lang w:val="en-US" w:eastAsia="en-US" w:bidi="ar-SA"/>
      </w:rPr>
    </w:lvl>
    <w:lvl w:ilvl="3" w:tplc="FFFACF94">
      <w:numFmt w:val="bullet"/>
      <w:lvlText w:val="•"/>
      <w:lvlJc w:val="left"/>
      <w:pPr>
        <w:ind w:left="3151" w:hanging="284"/>
      </w:pPr>
      <w:rPr>
        <w:rFonts w:hint="default"/>
        <w:lang w:val="en-US" w:eastAsia="en-US" w:bidi="ar-SA"/>
      </w:rPr>
    </w:lvl>
    <w:lvl w:ilvl="4" w:tplc="E0E08BFA">
      <w:numFmt w:val="bullet"/>
      <w:lvlText w:val="•"/>
      <w:lvlJc w:val="left"/>
      <w:pPr>
        <w:ind w:left="4197" w:hanging="284"/>
      </w:pPr>
      <w:rPr>
        <w:rFonts w:hint="default"/>
        <w:lang w:val="en-US" w:eastAsia="en-US" w:bidi="ar-SA"/>
      </w:rPr>
    </w:lvl>
    <w:lvl w:ilvl="5" w:tplc="7882ADF6">
      <w:numFmt w:val="bullet"/>
      <w:lvlText w:val="•"/>
      <w:lvlJc w:val="left"/>
      <w:pPr>
        <w:ind w:left="5242" w:hanging="284"/>
      </w:pPr>
      <w:rPr>
        <w:rFonts w:hint="default"/>
        <w:lang w:val="en-US" w:eastAsia="en-US" w:bidi="ar-SA"/>
      </w:rPr>
    </w:lvl>
    <w:lvl w:ilvl="6" w:tplc="32D0BA70">
      <w:numFmt w:val="bullet"/>
      <w:lvlText w:val="•"/>
      <w:lvlJc w:val="left"/>
      <w:pPr>
        <w:ind w:left="6288" w:hanging="284"/>
      </w:pPr>
      <w:rPr>
        <w:rFonts w:hint="default"/>
        <w:lang w:val="en-US" w:eastAsia="en-US" w:bidi="ar-SA"/>
      </w:rPr>
    </w:lvl>
    <w:lvl w:ilvl="7" w:tplc="D9925124">
      <w:numFmt w:val="bullet"/>
      <w:lvlText w:val="•"/>
      <w:lvlJc w:val="left"/>
      <w:pPr>
        <w:ind w:left="7334" w:hanging="284"/>
      </w:pPr>
      <w:rPr>
        <w:rFonts w:hint="default"/>
        <w:lang w:val="en-US" w:eastAsia="en-US" w:bidi="ar-SA"/>
      </w:rPr>
    </w:lvl>
    <w:lvl w:ilvl="8" w:tplc="527840B8">
      <w:numFmt w:val="bullet"/>
      <w:lvlText w:val="•"/>
      <w:lvlJc w:val="left"/>
      <w:pPr>
        <w:ind w:left="8379" w:hanging="284"/>
      </w:pPr>
      <w:rPr>
        <w:rFonts w:hint="default"/>
        <w:lang w:val="en-US" w:eastAsia="en-US" w:bidi="ar-SA"/>
      </w:rPr>
    </w:lvl>
  </w:abstractNum>
  <w:abstractNum w:abstractNumId="9" w15:restartNumberingAfterBreak="0">
    <w:nsid w:val="4C8257C2"/>
    <w:multiLevelType w:val="hybridMultilevel"/>
    <w:tmpl w:val="DB2E2808"/>
    <w:lvl w:ilvl="0" w:tplc="067C1208">
      <w:numFmt w:val="bullet"/>
      <w:lvlText w:val="➢"/>
      <w:lvlJc w:val="left"/>
      <w:pPr>
        <w:ind w:left="1080"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1" w:tplc="2FC2AE22">
      <w:numFmt w:val="bullet"/>
      <w:lvlText w:val="•"/>
      <w:lvlJc w:val="left"/>
      <w:pPr>
        <w:ind w:left="1980" w:hanging="360"/>
      </w:pPr>
      <w:rPr>
        <w:rFonts w:hint="default"/>
        <w:lang w:val="en-US" w:eastAsia="en-US" w:bidi="ar-SA"/>
      </w:rPr>
    </w:lvl>
    <w:lvl w:ilvl="2" w:tplc="BE729336">
      <w:numFmt w:val="bullet"/>
      <w:lvlText w:val="•"/>
      <w:lvlJc w:val="left"/>
      <w:pPr>
        <w:ind w:left="2880" w:hanging="360"/>
      </w:pPr>
      <w:rPr>
        <w:rFonts w:hint="default"/>
        <w:lang w:val="en-US" w:eastAsia="en-US" w:bidi="ar-SA"/>
      </w:rPr>
    </w:lvl>
    <w:lvl w:ilvl="3" w:tplc="0BBEDEE0">
      <w:numFmt w:val="bullet"/>
      <w:lvlText w:val="•"/>
      <w:lvlJc w:val="left"/>
      <w:pPr>
        <w:ind w:left="3780" w:hanging="360"/>
      </w:pPr>
      <w:rPr>
        <w:rFonts w:hint="default"/>
        <w:lang w:val="en-US" w:eastAsia="en-US" w:bidi="ar-SA"/>
      </w:rPr>
    </w:lvl>
    <w:lvl w:ilvl="4" w:tplc="EC62FBA0">
      <w:numFmt w:val="bullet"/>
      <w:lvlText w:val="•"/>
      <w:lvlJc w:val="left"/>
      <w:pPr>
        <w:ind w:left="4680" w:hanging="360"/>
      </w:pPr>
      <w:rPr>
        <w:rFonts w:hint="default"/>
        <w:lang w:val="en-US" w:eastAsia="en-US" w:bidi="ar-SA"/>
      </w:rPr>
    </w:lvl>
    <w:lvl w:ilvl="5" w:tplc="C0D42B3A">
      <w:numFmt w:val="bullet"/>
      <w:lvlText w:val="•"/>
      <w:lvlJc w:val="left"/>
      <w:pPr>
        <w:ind w:left="5580" w:hanging="360"/>
      </w:pPr>
      <w:rPr>
        <w:rFonts w:hint="default"/>
        <w:lang w:val="en-US" w:eastAsia="en-US" w:bidi="ar-SA"/>
      </w:rPr>
    </w:lvl>
    <w:lvl w:ilvl="6" w:tplc="D17AC290">
      <w:numFmt w:val="bullet"/>
      <w:lvlText w:val="•"/>
      <w:lvlJc w:val="left"/>
      <w:pPr>
        <w:ind w:left="6480" w:hanging="360"/>
      </w:pPr>
      <w:rPr>
        <w:rFonts w:hint="default"/>
        <w:lang w:val="en-US" w:eastAsia="en-US" w:bidi="ar-SA"/>
      </w:rPr>
    </w:lvl>
    <w:lvl w:ilvl="7" w:tplc="C3A886BE">
      <w:numFmt w:val="bullet"/>
      <w:lvlText w:val="•"/>
      <w:lvlJc w:val="left"/>
      <w:pPr>
        <w:ind w:left="7380" w:hanging="360"/>
      </w:pPr>
      <w:rPr>
        <w:rFonts w:hint="default"/>
        <w:lang w:val="en-US" w:eastAsia="en-US" w:bidi="ar-SA"/>
      </w:rPr>
    </w:lvl>
    <w:lvl w:ilvl="8" w:tplc="BB622B92">
      <w:numFmt w:val="bullet"/>
      <w:lvlText w:val="•"/>
      <w:lvlJc w:val="left"/>
      <w:pPr>
        <w:ind w:left="8280" w:hanging="360"/>
      </w:pPr>
      <w:rPr>
        <w:rFonts w:hint="default"/>
        <w:lang w:val="en-US" w:eastAsia="en-US" w:bidi="ar-SA"/>
      </w:rPr>
    </w:lvl>
  </w:abstractNum>
  <w:abstractNum w:abstractNumId="10" w15:restartNumberingAfterBreak="0">
    <w:nsid w:val="5774537E"/>
    <w:multiLevelType w:val="multilevel"/>
    <w:tmpl w:val="B45A56AA"/>
    <w:lvl w:ilvl="0">
      <w:start w:val="3"/>
      <w:numFmt w:val="decimal"/>
      <w:lvlText w:val="%1"/>
      <w:lvlJc w:val="left"/>
      <w:pPr>
        <w:ind w:left="1139" w:hanging="780"/>
      </w:pPr>
      <w:rPr>
        <w:rFonts w:hint="default"/>
        <w:lang w:val="en-US" w:eastAsia="en-US" w:bidi="ar-SA"/>
      </w:rPr>
    </w:lvl>
    <w:lvl w:ilvl="1">
      <w:start w:val="2"/>
      <w:numFmt w:val="decimal"/>
      <w:lvlText w:val="%1.%2"/>
      <w:lvlJc w:val="left"/>
      <w:pPr>
        <w:ind w:left="1139" w:hanging="780"/>
      </w:pPr>
      <w:rPr>
        <w:rFonts w:hint="default"/>
        <w:lang w:val="en-US" w:eastAsia="en-US" w:bidi="ar-SA"/>
      </w:rPr>
    </w:lvl>
    <w:lvl w:ilvl="2">
      <w:start w:val="4"/>
      <w:numFmt w:val="decimal"/>
      <w:lvlText w:val="%1.%2.%3."/>
      <w:lvlJc w:val="left"/>
      <w:pPr>
        <w:ind w:left="1139" w:hanging="780"/>
      </w:pPr>
      <w:rPr>
        <w:rFonts w:ascii="Arial MT" w:eastAsia="Arial MT" w:hAnsi="Arial MT" w:cs="Arial MT" w:hint="default"/>
        <w:b w:val="0"/>
        <w:bCs w:val="0"/>
        <w:i w:val="0"/>
        <w:iCs w:val="0"/>
        <w:spacing w:val="-3"/>
        <w:w w:val="100"/>
        <w:sz w:val="28"/>
        <w:szCs w:val="28"/>
        <w:lang w:val="en-US" w:eastAsia="en-US" w:bidi="ar-SA"/>
      </w:rPr>
    </w:lvl>
    <w:lvl w:ilvl="3">
      <w:numFmt w:val="bullet"/>
      <w:lvlText w:val=""/>
      <w:lvlJc w:val="left"/>
      <w:pPr>
        <w:ind w:left="1073" w:hanging="356"/>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4120" w:hanging="356"/>
      </w:pPr>
      <w:rPr>
        <w:rFonts w:hint="default"/>
        <w:lang w:val="en-US" w:eastAsia="en-US" w:bidi="ar-SA"/>
      </w:rPr>
    </w:lvl>
    <w:lvl w:ilvl="5">
      <w:numFmt w:val="bullet"/>
      <w:lvlText w:val="•"/>
      <w:lvlJc w:val="left"/>
      <w:pPr>
        <w:ind w:left="5113" w:hanging="356"/>
      </w:pPr>
      <w:rPr>
        <w:rFonts w:hint="default"/>
        <w:lang w:val="en-US" w:eastAsia="en-US" w:bidi="ar-SA"/>
      </w:rPr>
    </w:lvl>
    <w:lvl w:ilvl="6">
      <w:numFmt w:val="bullet"/>
      <w:lvlText w:val="•"/>
      <w:lvlJc w:val="left"/>
      <w:pPr>
        <w:ind w:left="6106" w:hanging="356"/>
      </w:pPr>
      <w:rPr>
        <w:rFonts w:hint="default"/>
        <w:lang w:val="en-US" w:eastAsia="en-US" w:bidi="ar-SA"/>
      </w:rPr>
    </w:lvl>
    <w:lvl w:ilvl="7">
      <w:numFmt w:val="bullet"/>
      <w:lvlText w:val="•"/>
      <w:lvlJc w:val="left"/>
      <w:pPr>
        <w:ind w:left="7100" w:hanging="356"/>
      </w:pPr>
      <w:rPr>
        <w:rFonts w:hint="default"/>
        <w:lang w:val="en-US" w:eastAsia="en-US" w:bidi="ar-SA"/>
      </w:rPr>
    </w:lvl>
    <w:lvl w:ilvl="8">
      <w:numFmt w:val="bullet"/>
      <w:lvlText w:val="•"/>
      <w:lvlJc w:val="left"/>
      <w:pPr>
        <w:ind w:left="8093" w:hanging="356"/>
      </w:pPr>
      <w:rPr>
        <w:rFonts w:hint="default"/>
        <w:lang w:val="en-US" w:eastAsia="en-US" w:bidi="ar-SA"/>
      </w:rPr>
    </w:lvl>
  </w:abstractNum>
  <w:abstractNum w:abstractNumId="11" w15:restartNumberingAfterBreak="0">
    <w:nsid w:val="5FE10BB9"/>
    <w:multiLevelType w:val="hybridMultilevel"/>
    <w:tmpl w:val="B9BE5646"/>
    <w:lvl w:ilvl="0" w:tplc="21229074">
      <w:numFmt w:val="bullet"/>
      <w:lvlText w:val="-"/>
      <w:lvlJc w:val="left"/>
      <w:pPr>
        <w:ind w:left="1056" w:hanging="360"/>
      </w:pPr>
      <w:rPr>
        <w:rFonts w:ascii="Calibri" w:eastAsia="Calibri" w:hAnsi="Calibri" w:cs="Calibri" w:hint="default"/>
        <w:b w:val="0"/>
        <w:bCs w:val="0"/>
        <w:i w:val="0"/>
        <w:iCs w:val="0"/>
        <w:spacing w:val="0"/>
        <w:w w:val="100"/>
        <w:sz w:val="22"/>
        <w:szCs w:val="22"/>
        <w:lang w:val="en-US" w:eastAsia="en-US" w:bidi="ar-SA"/>
      </w:rPr>
    </w:lvl>
    <w:lvl w:ilvl="1" w:tplc="1410F3F6">
      <w:numFmt w:val="bullet"/>
      <w:lvlText w:val="•"/>
      <w:lvlJc w:val="left"/>
      <w:pPr>
        <w:ind w:left="2001" w:hanging="360"/>
      </w:pPr>
      <w:rPr>
        <w:rFonts w:hint="default"/>
        <w:lang w:val="en-US" w:eastAsia="en-US" w:bidi="ar-SA"/>
      </w:rPr>
    </w:lvl>
    <w:lvl w:ilvl="2" w:tplc="E4DE9932">
      <w:numFmt w:val="bullet"/>
      <w:lvlText w:val="•"/>
      <w:lvlJc w:val="left"/>
      <w:pPr>
        <w:ind w:left="2942" w:hanging="360"/>
      </w:pPr>
      <w:rPr>
        <w:rFonts w:hint="default"/>
        <w:lang w:val="en-US" w:eastAsia="en-US" w:bidi="ar-SA"/>
      </w:rPr>
    </w:lvl>
    <w:lvl w:ilvl="3" w:tplc="B712BA9A">
      <w:numFmt w:val="bullet"/>
      <w:lvlText w:val="•"/>
      <w:lvlJc w:val="left"/>
      <w:pPr>
        <w:ind w:left="3883" w:hanging="360"/>
      </w:pPr>
      <w:rPr>
        <w:rFonts w:hint="default"/>
        <w:lang w:val="en-US" w:eastAsia="en-US" w:bidi="ar-SA"/>
      </w:rPr>
    </w:lvl>
    <w:lvl w:ilvl="4" w:tplc="3F32BA0E">
      <w:numFmt w:val="bullet"/>
      <w:lvlText w:val="•"/>
      <w:lvlJc w:val="left"/>
      <w:pPr>
        <w:ind w:left="4824" w:hanging="360"/>
      </w:pPr>
      <w:rPr>
        <w:rFonts w:hint="default"/>
        <w:lang w:val="en-US" w:eastAsia="en-US" w:bidi="ar-SA"/>
      </w:rPr>
    </w:lvl>
    <w:lvl w:ilvl="5" w:tplc="523C5156">
      <w:numFmt w:val="bullet"/>
      <w:lvlText w:val="•"/>
      <w:lvlJc w:val="left"/>
      <w:pPr>
        <w:ind w:left="5765" w:hanging="360"/>
      </w:pPr>
      <w:rPr>
        <w:rFonts w:hint="default"/>
        <w:lang w:val="en-US" w:eastAsia="en-US" w:bidi="ar-SA"/>
      </w:rPr>
    </w:lvl>
    <w:lvl w:ilvl="6" w:tplc="B31CEA12">
      <w:numFmt w:val="bullet"/>
      <w:lvlText w:val="•"/>
      <w:lvlJc w:val="left"/>
      <w:pPr>
        <w:ind w:left="6706" w:hanging="360"/>
      </w:pPr>
      <w:rPr>
        <w:rFonts w:hint="default"/>
        <w:lang w:val="en-US" w:eastAsia="en-US" w:bidi="ar-SA"/>
      </w:rPr>
    </w:lvl>
    <w:lvl w:ilvl="7" w:tplc="6902F0C2">
      <w:numFmt w:val="bullet"/>
      <w:lvlText w:val="•"/>
      <w:lvlJc w:val="left"/>
      <w:pPr>
        <w:ind w:left="7647" w:hanging="360"/>
      </w:pPr>
      <w:rPr>
        <w:rFonts w:hint="default"/>
        <w:lang w:val="en-US" w:eastAsia="en-US" w:bidi="ar-SA"/>
      </w:rPr>
    </w:lvl>
    <w:lvl w:ilvl="8" w:tplc="EB829F1A">
      <w:numFmt w:val="bullet"/>
      <w:lvlText w:val="•"/>
      <w:lvlJc w:val="left"/>
      <w:pPr>
        <w:ind w:left="8588" w:hanging="360"/>
      </w:pPr>
      <w:rPr>
        <w:rFonts w:hint="default"/>
        <w:lang w:val="en-US" w:eastAsia="en-US" w:bidi="ar-SA"/>
      </w:rPr>
    </w:lvl>
  </w:abstractNum>
  <w:abstractNum w:abstractNumId="12" w15:restartNumberingAfterBreak="0">
    <w:nsid w:val="6B1B46B3"/>
    <w:multiLevelType w:val="hybridMultilevel"/>
    <w:tmpl w:val="F84CFE5C"/>
    <w:lvl w:ilvl="0" w:tplc="DC6A7FA8">
      <w:start w:val="1"/>
      <w:numFmt w:val="decimal"/>
      <w:lvlText w:val="%1."/>
      <w:lvlJc w:val="left"/>
      <w:pPr>
        <w:ind w:left="681" w:hanging="353"/>
        <w:jc w:val="right"/>
      </w:pPr>
      <w:rPr>
        <w:rFonts w:ascii="Calibri" w:eastAsia="Calibri" w:hAnsi="Calibri" w:cs="Calibri" w:hint="default"/>
        <w:b w:val="0"/>
        <w:bCs w:val="0"/>
        <w:i w:val="0"/>
        <w:iCs w:val="0"/>
        <w:spacing w:val="-2"/>
        <w:w w:val="100"/>
        <w:sz w:val="22"/>
        <w:szCs w:val="22"/>
        <w:lang w:val="en-US" w:eastAsia="en-US" w:bidi="ar-SA"/>
      </w:rPr>
    </w:lvl>
    <w:lvl w:ilvl="1" w:tplc="D0AA8D5C">
      <w:numFmt w:val="bullet"/>
      <w:lvlText w:val="•"/>
      <w:lvlJc w:val="left"/>
      <w:pPr>
        <w:ind w:left="1419" w:hanging="353"/>
      </w:pPr>
      <w:rPr>
        <w:rFonts w:hint="default"/>
        <w:lang w:val="en-US" w:eastAsia="en-US" w:bidi="ar-SA"/>
      </w:rPr>
    </w:lvl>
    <w:lvl w:ilvl="2" w:tplc="7B945486">
      <w:numFmt w:val="bullet"/>
      <w:lvlText w:val="•"/>
      <w:lvlJc w:val="left"/>
      <w:pPr>
        <w:ind w:left="2158" w:hanging="353"/>
      </w:pPr>
      <w:rPr>
        <w:rFonts w:hint="default"/>
        <w:lang w:val="en-US" w:eastAsia="en-US" w:bidi="ar-SA"/>
      </w:rPr>
    </w:lvl>
    <w:lvl w:ilvl="3" w:tplc="02084EC2">
      <w:numFmt w:val="bullet"/>
      <w:lvlText w:val="•"/>
      <w:lvlJc w:val="left"/>
      <w:pPr>
        <w:ind w:left="2897" w:hanging="353"/>
      </w:pPr>
      <w:rPr>
        <w:rFonts w:hint="default"/>
        <w:lang w:val="en-US" w:eastAsia="en-US" w:bidi="ar-SA"/>
      </w:rPr>
    </w:lvl>
    <w:lvl w:ilvl="4" w:tplc="CC8EF05A">
      <w:numFmt w:val="bullet"/>
      <w:lvlText w:val="•"/>
      <w:lvlJc w:val="left"/>
      <w:pPr>
        <w:ind w:left="3636" w:hanging="353"/>
      </w:pPr>
      <w:rPr>
        <w:rFonts w:hint="default"/>
        <w:lang w:val="en-US" w:eastAsia="en-US" w:bidi="ar-SA"/>
      </w:rPr>
    </w:lvl>
    <w:lvl w:ilvl="5" w:tplc="5402433C">
      <w:numFmt w:val="bullet"/>
      <w:lvlText w:val="•"/>
      <w:lvlJc w:val="left"/>
      <w:pPr>
        <w:ind w:left="4375" w:hanging="353"/>
      </w:pPr>
      <w:rPr>
        <w:rFonts w:hint="default"/>
        <w:lang w:val="en-US" w:eastAsia="en-US" w:bidi="ar-SA"/>
      </w:rPr>
    </w:lvl>
    <w:lvl w:ilvl="6" w:tplc="AFD4D21A">
      <w:numFmt w:val="bullet"/>
      <w:lvlText w:val="•"/>
      <w:lvlJc w:val="left"/>
      <w:pPr>
        <w:ind w:left="5114" w:hanging="353"/>
      </w:pPr>
      <w:rPr>
        <w:rFonts w:hint="default"/>
        <w:lang w:val="en-US" w:eastAsia="en-US" w:bidi="ar-SA"/>
      </w:rPr>
    </w:lvl>
    <w:lvl w:ilvl="7" w:tplc="D3227E7E">
      <w:numFmt w:val="bullet"/>
      <w:lvlText w:val="•"/>
      <w:lvlJc w:val="left"/>
      <w:pPr>
        <w:ind w:left="5853" w:hanging="353"/>
      </w:pPr>
      <w:rPr>
        <w:rFonts w:hint="default"/>
        <w:lang w:val="en-US" w:eastAsia="en-US" w:bidi="ar-SA"/>
      </w:rPr>
    </w:lvl>
    <w:lvl w:ilvl="8" w:tplc="20860BBE">
      <w:numFmt w:val="bullet"/>
      <w:lvlText w:val="•"/>
      <w:lvlJc w:val="left"/>
      <w:pPr>
        <w:ind w:left="6592" w:hanging="353"/>
      </w:pPr>
      <w:rPr>
        <w:rFonts w:hint="default"/>
        <w:lang w:val="en-US" w:eastAsia="en-US" w:bidi="ar-SA"/>
      </w:rPr>
    </w:lvl>
  </w:abstractNum>
  <w:abstractNum w:abstractNumId="13" w15:restartNumberingAfterBreak="0">
    <w:nsid w:val="71396958"/>
    <w:multiLevelType w:val="hybridMultilevel"/>
    <w:tmpl w:val="47E21FF0"/>
    <w:lvl w:ilvl="0" w:tplc="A80C4E74">
      <w:numFmt w:val="bullet"/>
      <w:lvlText w:val="➢"/>
      <w:lvlJc w:val="left"/>
      <w:pPr>
        <w:ind w:left="1073" w:hanging="356"/>
      </w:pPr>
      <w:rPr>
        <w:rFonts w:ascii="Segoe UI Symbol" w:eastAsia="Segoe UI Symbol" w:hAnsi="Segoe UI Symbol" w:cs="Segoe UI Symbol" w:hint="default"/>
        <w:b w:val="0"/>
        <w:bCs w:val="0"/>
        <w:i w:val="0"/>
        <w:iCs w:val="0"/>
        <w:spacing w:val="0"/>
        <w:w w:val="100"/>
        <w:sz w:val="24"/>
        <w:szCs w:val="24"/>
        <w:lang w:val="en-US" w:eastAsia="en-US" w:bidi="ar-SA"/>
      </w:rPr>
    </w:lvl>
    <w:lvl w:ilvl="1" w:tplc="33A6CA9C">
      <w:numFmt w:val="bullet"/>
      <w:lvlText w:val="•"/>
      <w:lvlJc w:val="left"/>
      <w:pPr>
        <w:ind w:left="1980" w:hanging="356"/>
      </w:pPr>
      <w:rPr>
        <w:rFonts w:hint="default"/>
        <w:lang w:val="en-US" w:eastAsia="en-US" w:bidi="ar-SA"/>
      </w:rPr>
    </w:lvl>
    <w:lvl w:ilvl="2" w:tplc="3A403808">
      <w:numFmt w:val="bullet"/>
      <w:lvlText w:val="•"/>
      <w:lvlJc w:val="left"/>
      <w:pPr>
        <w:ind w:left="2880" w:hanging="356"/>
      </w:pPr>
      <w:rPr>
        <w:rFonts w:hint="default"/>
        <w:lang w:val="en-US" w:eastAsia="en-US" w:bidi="ar-SA"/>
      </w:rPr>
    </w:lvl>
    <w:lvl w:ilvl="3" w:tplc="FE76B78C">
      <w:numFmt w:val="bullet"/>
      <w:lvlText w:val="•"/>
      <w:lvlJc w:val="left"/>
      <w:pPr>
        <w:ind w:left="3780" w:hanging="356"/>
      </w:pPr>
      <w:rPr>
        <w:rFonts w:hint="default"/>
        <w:lang w:val="en-US" w:eastAsia="en-US" w:bidi="ar-SA"/>
      </w:rPr>
    </w:lvl>
    <w:lvl w:ilvl="4" w:tplc="0D7CCFB2">
      <w:numFmt w:val="bullet"/>
      <w:lvlText w:val="•"/>
      <w:lvlJc w:val="left"/>
      <w:pPr>
        <w:ind w:left="4680" w:hanging="356"/>
      </w:pPr>
      <w:rPr>
        <w:rFonts w:hint="default"/>
        <w:lang w:val="en-US" w:eastAsia="en-US" w:bidi="ar-SA"/>
      </w:rPr>
    </w:lvl>
    <w:lvl w:ilvl="5" w:tplc="7A8EFD64">
      <w:numFmt w:val="bullet"/>
      <w:lvlText w:val="•"/>
      <w:lvlJc w:val="left"/>
      <w:pPr>
        <w:ind w:left="5580" w:hanging="356"/>
      </w:pPr>
      <w:rPr>
        <w:rFonts w:hint="default"/>
        <w:lang w:val="en-US" w:eastAsia="en-US" w:bidi="ar-SA"/>
      </w:rPr>
    </w:lvl>
    <w:lvl w:ilvl="6" w:tplc="7CCABF1A">
      <w:numFmt w:val="bullet"/>
      <w:lvlText w:val="•"/>
      <w:lvlJc w:val="left"/>
      <w:pPr>
        <w:ind w:left="6480" w:hanging="356"/>
      </w:pPr>
      <w:rPr>
        <w:rFonts w:hint="default"/>
        <w:lang w:val="en-US" w:eastAsia="en-US" w:bidi="ar-SA"/>
      </w:rPr>
    </w:lvl>
    <w:lvl w:ilvl="7" w:tplc="F24035E2">
      <w:numFmt w:val="bullet"/>
      <w:lvlText w:val="•"/>
      <w:lvlJc w:val="left"/>
      <w:pPr>
        <w:ind w:left="7380" w:hanging="356"/>
      </w:pPr>
      <w:rPr>
        <w:rFonts w:hint="default"/>
        <w:lang w:val="en-US" w:eastAsia="en-US" w:bidi="ar-SA"/>
      </w:rPr>
    </w:lvl>
    <w:lvl w:ilvl="8" w:tplc="73F2B05A">
      <w:numFmt w:val="bullet"/>
      <w:lvlText w:val="•"/>
      <w:lvlJc w:val="left"/>
      <w:pPr>
        <w:ind w:left="8280" w:hanging="356"/>
      </w:pPr>
      <w:rPr>
        <w:rFonts w:hint="default"/>
        <w:lang w:val="en-US" w:eastAsia="en-US" w:bidi="ar-SA"/>
      </w:rPr>
    </w:lvl>
  </w:abstractNum>
  <w:abstractNum w:abstractNumId="14" w15:restartNumberingAfterBreak="0">
    <w:nsid w:val="75FB7068"/>
    <w:multiLevelType w:val="hybridMultilevel"/>
    <w:tmpl w:val="18CCD248"/>
    <w:lvl w:ilvl="0" w:tplc="A978DAFC">
      <w:start w:val="1"/>
      <w:numFmt w:val="decimal"/>
      <w:lvlText w:val="%1."/>
      <w:lvlJc w:val="left"/>
      <w:pPr>
        <w:ind w:left="1073" w:hanging="356"/>
      </w:pPr>
      <w:rPr>
        <w:rFonts w:ascii="Arial MT" w:eastAsia="Arial MT" w:hAnsi="Arial MT" w:cs="Arial MT" w:hint="default"/>
        <w:b w:val="0"/>
        <w:bCs w:val="0"/>
        <w:i w:val="0"/>
        <w:iCs w:val="0"/>
        <w:spacing w:val="0"/>
        <w:w w:val="100"/>
        <w:sz w:val="24"/>
        <w:szCs w:val="24"/>
        <w:lang w:val="en-US" w:eastAsia="en-US" w:bidi="ar-SA"/>
      </w:rPr>
    </w:lvl>
    <w:lvl w:ilvl="1" w:tplc="781C3756">
      <w:numFmt w:val="bullet"/>
      <w:lvlText w:val=""/>
      <w:lvlJc w:val="left"/>
      <w:pPr>
        <w:ind w:left="1073" w:hanging="356"/>
      </w:pPr>
      <w:rPr>
        <w:rFonts w:ascii="Symbol" w:eastAsia="Symbol" w:hAnsi="Symbol" w:cs="Symbol" w:hint="default"/>
        <w:b w:val="0"/>
        <w:bCs w:val="0"/>
        <w:i w:val="0"/>
        <w:iCs w:val="0"/>
        <w:spacing w:val="0"/>
        <w:w w:val="100"/>
        <w:sz w:val="24"/>
        <w:szCs w:val="24"/>
        <w:lang w:val="en-US" w:eastAsia="en-US" w:bidi="ar-SA"/>
      </w:rPr>
    </w:lvl>
    <w:lvl w:ilvl="2" w:tplc="359035A6">
      <w:numFmt w:val="bullet"/>
      <w:lvlText w:val="•"/>
      <w:lvlJc w:val="left"/>
      <w:pPr>
        <w:ind w:left="2880" w:hanging="356"/>
      </w:pPr>
      <w:rPr>
        <w:rFonts w:hint="default"/>
        <w:lang w:val="en-US" w:eastAsia="en-US" w:bidi="ar-SA"/>
      </w:rPr>
    </w:lvl>
    <w:lvl w:ilvl="3" w:tplc="990CC9BE">
      <w:numFmt w:val="bullet"/>
      <w:lvlText w:val="•"/>
      <w:lvlJc w:val="left"/>
      <w:pPr>
        <w:ind w:left="3780" w:hanging="356"/>
      </w:pPr>
      <w:rPr>
        <w:rFonts w:hint="default"/>
        <w:lang w:val="en-US" w:eastAsia="en-US" w:bidi="ar-SA"/>
      </w:rPr>
    </w:lvl>
    <w:lvl w:ilvl="4" w:tplc="2A94C7CC">
      <w:numFmt w:val="bullet"/>
      <w:lvlText w:val="•"/>
      <w:lvlJc w:val="left"/>
      <w:pPr>
        <w:ind w:left="4680" w:hanging="356"/>
      </w:pPr>
      <w:rPr>
        <w:rFonts w:hint="default"/>
        <w:lang w:val="en-US" w:eastAsia="en-US" w:bidi="ar-SA"/>
      </w:rPr>
    </w:lvl>
    <w:lvl w:ilvl="5" w:tplc="5AD4E6F6">
      <w:numFmt w:val="bullet"/>
      <w:lvlText w:val="•"/>
      <w:lvlJc w:val="left"/>
      <w:pPr>
        <w:ind w:left="5580" w:hanging="356"/>
      </w:pPr>
      <w:rPr>
        <w:rFonts w:hint="default"/>
        <w:lang w:val="en-US" w:eastAsia="en-US" w:bidi="ar-SA"/>
      </w:rPr>
    </w:lvl>
    <w:lvl w:ilvl="6" w:tplc="1396ACCA">
      <w:numFmt w:val="bullet"/>
      <w:lvlText w:val="•"/>
      <w:lvlJc w:val="left"/>
      <w:pPr>
        <w:ind w:left="6480" w:hanging="356"/>
      </w:pPr>
      <w:rPr>
        <w:rFonts w:hint="default"/>
        <w:lang w:val="en-US" w:eastAsia="en-US" w:bidi="ar-SA"/>
      </w:rPr>
    </w:lvl>
    <w:lvl w:ilvl="7" w:tplc="75E8D31C">
      <w:numFmt w:val="bullet"/>
      <w:lvlText w:val="•"/>
      <w:lvlJc w:val="left"/>
      <w:pPr>
        <w:ind w:left="7380" w:hanging="356"/>
      </w:pPr>
      <w:rPr>
        <w:rFonts w:hint="default"/>
        <w:lang w:val="en-US" w:eastAsia="en-US" w:bidi="ar-SA"/>
      </w:rPr>
    </w:lvl>
    <w:lvl w:ilvl="8" w:tplc="6BF4F852">
      <w:numFmt w:val="bullet"/>
      <w:lvlText w:val="•"/>
      <w:lvlJc w:val="left"/>
      <w:pPr>
        <w:ind w:left="8280" w:hanging="356"/>
      </w:pPr>
      <w:rPr>
        <w:rFonts w:hint="default"/>
        <w:lang w:val="en-US" w:eastAsia="en-US" w:bidi="ar-SA"/>
      </w:rPr>
    </w:lvl>
  </w:abstractNum>
  <w:num w:numId="1" w16cid:durableId="986785627">
    <w:abstractNumId w:val="5"/>
  </w:num>
  <w:num w:numId="2" w16cid:durableId="800852558">
    <w:abstractNumId w:val="11"/>
  </w:num>
  <w:num w:numId="3" w16cid:durableId="2102755074">
    <w:abstractNumId w:val="8"/>
  </w:num>
  <w:num w:numId="4" w16cid:durableId="1825395208">
    <w:abstractNumId w:val="12"/>
  </w:num>
  <w:num w:numId="5" w16cid:durableId="1053188126">
    <w:abstractNumId w:val="9"/>
  </w:num>
  <w:num w:numId="6" w16cid:durableId="2031030403">
    <w:abstractNumId w:val="0"/>
  </w:num>
  <w:num w:numId="7" w16cid:durableId="377433147">
    <w:abstractNumId w:val="6"/>
  </w:num>
  <w:num w:numId="8" w16cid:durableId="1378243933">
    <w:abstractNumId w:val="10"/>
  </w:num>
  <w:num w:numId="9" w16cid:durableId="286471101">
    <w:abstractNumId w:val="13"/>
  </w:num>
  <w:num w:numId="10" w16cid:durableId="1073968107">
    <w:abstractNumId w:val="1"/>
  </w:num>
  <w:num w:numId="11" w16cid:durableId="345715317">
    <w:abstractNumId w:val="14"/>
  </w:num>
  <w:num w:numId="12" w16cid:durableId="642275308">
    <w:abstractNumId w:val="4"/>
  </w:num>
  <w:num w:numId="13" w16cid:durableId="1867786856">
    <w:abstractNumId w:val="2"/>
  </w:num>
  <w:num w:numId="14" w16cid:durableId="1761176811">
    <w:abstractNumId w:val="7"/>
  </w:num>
  <w:num w:numId="15" w16cid:durableId="121119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10"/>
    <w:rsid w:val="000C4E71"/>
    <w:rsid w:val="00161C10"/>
    <w:rsid w:val="003D0DBD"/>
    <w:rsid w:val="005B2E9B"/>
    <w:rsid w:val="00731679"/>
    <w:rsid w:val="00822534"/>
    <w:rsid w:val="008F622A"/>
    <w:rsid w:val="00CE2C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D57D3"/>
  <w15:docId w15:val="{55B62445-FB99-4CB1-A19A-B5191A717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autoRedefine/>
    <w:uiPriority w:val="9"/>
    <w:qFormat/>
    <w:rsid w:val="005B2E9B"/>
    <w:pPr>
      <w:numPr>
        <w:numId w:val="14"/>
      </w:numPr>
      <w:outlineLvl w:val="0"/>
    </w:pPr>
    <w:rPr>
      <w:sz w:val="40"/>
      <w:szCs w:val="32"/>
    </w:rPr>
  </w:style>
  <w:style w:type="paragraph" w:styleId="Heading2">
    <w:name w:val="heading 2"/>
    <w:basedOn w:val="Normal"/>
    <w:uiPriority w:val="9"/>
    <w:unhideWhenUsed/>
    <w:qFormat/>
    <w:rsid w:val="005B2E9B"/>
    <w:pPr>
      <w:numPr>
        <w:numId w:val="15"/>
      </w:numPr>
      <w:spacing w:before="77"/>
      <w:ind w:right="1356"/>
      <w:outlineLvl w:val="1"/>
    </w:pPr>
    <w:rPr>
      <w:rFonts w:ascii="Arial" w:eastAsia="Calibri" w:hAnsi="Arial" w:cs="Calibri"/>
      <w:bCs/>
      <w:sz w:val="32"/>
      <w:szCs w:val="28"/>
    </w:rPr>
  </w:style>
  <w:style w:type="paragraph" w:styleId="Heading3">
    <w:name w:val="heading 3"/>
    <w:basedOn w:val="Normal"/>
    <w:uiPriority w:val="9"/>
    <w:unhideWhenUsed/>
    <w:qFormat/>
    <w:pPr>
      <w:spacing w:before="246"/>
      <w:ind w:left="1136" w:hanging="776"/>
      <w:outlineLvl w:val="2"/>
    </w:pPr>
    <w:rPr>
      <w:sz w:val="28"/>
      <w:szCs w:val="28"/>
    </w:rPr>
  </w:style>
  <w:style w:type="paragraph" w:styleId="Heading4">
    <w:name w:val="heading 4"/>
    <w:basedOn w:val="Normal"/>
    <w:uiPriority w:val="9"/>
    <w:unhideWhenUsed/>
    <w:qFormat/>
    <w:pPr>
      <w:spacing w:before="19"/>
      <w:ind w:left="108"/>
      <w:jc w:val="both"/>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Title">
    <w:name w:val="Title"/>
    <w:basedOn w:val="Normal"/>
    <w:uiPriority w:val="10"/>
    <w:qFormat/>
    <w:pPr>
      <w:spacing w:before="377"/>
      <w:ind w:left="382" w:right="388" w:firstLine="2"/>
      <w:jc w:val="center"/>
    </w:pPr>
    <w:rPr>
      <w:rFonts w:ascii="Arial" w:eastAsia="Arial" w:hAnsi="Arial" w:cs="Arial"/>
      <w:b/>
      <w:bCs/>
      <w:sz w:val="44"/>
      <w:szCs w:val="44"/>
    </w:rPr>
  </w:style>
  <w:style w:type="paragraph" w:styleId="ListParagraph">
    <w:name w:val="List Paragraph"/>
    <w:basedOn w:val="Normal"/>
    <w:uiPriority w:val="1"/>
    <w:qFormat/>
    <w:pPr>
      <w:ind w:left="1073" w:hanging="360"/>
      <w:jc w:val="both"/>
    </w:pPr>
    <w:rPr>
      <w:rFonts w:ascii="Calibri" w:eastAsia="Calibri" w:hAnsi="Calibri" w:cs="Calibri"/>
    </w:rPr>
  </w:style>
  <w:style w:type="paragraph" w:customStyle="1" w:styleId="TableParagraph">
    <w:name w:val="Table Paragraph"/>
    <w:basedOn w:val="Normal"/>
    <w:uiPriority w:val="1"/>
    <w:qFormat/>
    <w:pPr>
      <w:ind w:left="-5"/>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eur-lex.europa.eu/eli/reg/2024/792/oj/eng" TargetMode="External"/><Relationship Id="rId21" Type="http://schemas.openxmlformats.org/officeDocument/2006/relationships/hyperlink" Target="https://eur-lex.europa.eu/legal-content/EN/TXT/?uri=celex%3A52023PC0280" TargetMode="External"/><Relationship Id="rId42" Type="http://schemas.openxmlformats.org/officeDocument/2006/relationships/hyperlink" Target="https://euobserver.com/EU%20Political/arb285b91d" TargetMode="External"/><Relationship Id="rId63" Type="http://schemas.openxmlformats.org/officeDocument/2006/relationships/hyperlink" Target="https://eur-lex.europa.eu/legal-content/EN/TXT/?uri=celex%3A52023PC0280" TargetMode="External"/><Relationship Id="rId84" Type="http://schemas.openxmlformats.org/officeDocument/2006/relationships/hyperlink" Target="https://employment-social-affairs.ec.europa.eu/news/commission-adopts-guidance-independent-living-persons-disabilities-2024-11-20_en" TargetMode="External"/><Relationship Id="rId138" Type="http://schemas.openxmlformats.org/officeDocument/2006/relationships/theme" Target="theme/theme1.xml"/><Relationship Id="rId16" Type="http://schemas.openxmlformats.org/officeDocument/2006/relationships/footer" Target="footer1.xml"/><Relationship Id="rId107" Type="http://schemas.openxmlformats.org/officeDocument/2006/relationships/hyperlink" Target="https://eur-lex.europa.eu/eli/reg/2014/651/oj/eng" TargetMode="External"/><Relationship Id="rId11" Type="http://schemas.openxmlformats.org/officeDocument/2006/relationships/hyperlink" Target="https://tbinternet.ohchr.org/_layouts/15/treatybodyexternal/Download.aspx?symbolno=CRPD%2FC%2FEU%2F2-3&amp;Lang=en" TargetMode="External"/><Relationship Id="rId32" Type="http://schemas.openxmlformats.org/officeDocument/2006/relationships/hyperlink" Target="https://eur-lex.europa.eu/legal-content/EN/TXT/PDF/?uri=CELEX%3A52016XC0723(01)" TargetMode="External"/><Relationship Id="rId37" Type="http://schemas.openxmlformats.org/officeDocument/2006/relationships/hyperlink" Target="https://enil.eu/enil-submits-shadow-report-on-the-implementation-of-the-crpd-in-the-european-union/" TargetMode="External"/><Relationship Id="rId53" Type="http://schemas.openxmlformats.org/officeDocument/2006/relationships/hyperlink" Target="https://enil.eu/it-happens/" TargetMode="External"/><Relationship Id="rId58" Type="http://schemas.openxmlformats.org/officeDocument/2006/relationships/hyperlink" Target="https://eur-lex.europa.eu/legal-content/EN/TXT/?uri=celex%3A52023PC0280" TargetMode="External"/><Relationship Id="rId74" Type="http://schemas.openxmlformats.org/officeDocument/2006/relationships/hyperlink" Target="https://enil.eu/wp-content/uploads/2022/07/Lost-in-Interpretation_en.pdf" TargetMode="External"/><Relationship Id="rId79" Type="http://schemas.openxmlformats.org/officeDocument/2006/relationships/hyperlink" Target="https://enil.eu/enil-and-il-austria-complain-to-the-european-commission/" TargetMode="External"/><Relationship Id="rId102" Type="http://schemas.openxmlformats.org/officeDocument/2006/relationships/hyperlink" Target="https://eur-lex.europa.eu/legal-content/EN/TXT/PDF/?uri=CELEX%3A32012D0021" TargetMode="External"/><Relationship Id="rId123" Type="http://schemas.openxmlformats.org/officeDocument/2006/relationships/image" Target="media/image3.png"/><Relationship Id="rId128" Type="http://schemas.openxmlformats.org/officeDocument/2006/relationships/hyperlink" Target="mailto:GROW-ESO@ec.europa.eu" TargetMode="External"/><Relationship Id="rId5" Type="http://schemas.openxmlformats.org/officeDocument/2006/relationships/footnotes" Target="footnotes.xml"/><Relationship Id="rId90" Type="http://schemas.openxmlformats.org/officeDocument/2006/relationships/hyperlink" Target="https://www.eca.europa.eu/en/publications?ref=SR-2023-26" TargetMode="External"/><Relationship Id="rId95" Type="http://schemas.openxmlformats.org/officeDocument/2006/relationships/hyperlink" Target="https://eur-lex.europa.eu/eli/reg_del/2014/240/oj/eng" TargetMode="External"/><Relationship Id="rId22" Type="http://schemas.openxmlformats.org/officeDocument/2006/relationships/hyperlink" Target="https://eur-lex.europa.eu/legal-content/EN/TXT/?uri=celex%3A52023PC0280" TargetMode="External"/><Relationship Id="rId27" Type="http://schemas.openxmlformats.org/officeDocument/2006/relationships/hyperlink" Target="https://enil.eu/funding/" TargetMode="External"/><Relationship Id="rId43" Type="http://schemas.openxmlformats.org/officeDocument/2006/relationships/hyperlink" Target="https://euobserver.com/EU%20Political/arb285b91d" TargetMode="External"/><Relationship Id="rId48" Type="http://schemas.openxmlformats.org/officeDocument/2006/relationships/hyperlink" Target="https://www.europarl.europa.eu/legislative-train/theme-area-of-justice-and-fundamental-rights/file-anti-discrimination-directive" TargetMode="External"/><Relationship Id="rId64" Type="http://schemas.openxmlformats.org/officeDocument/2006/relationships/hyperlink" Target="https://eur-lex.europa.eu/legal-content/EN/TXT/?uri=celex%3A52023PC0280" TargetMode="External"/><Relationship Id="rId69" Type="http://schemas.openxmlformats.org/officeDocument/2006/relationships/hyperlink" Target="https://employment-social-affairs.ec.europa.eu/news/commission-adopts-guidance-independent-living-persons-disabilities-2024-11-20_en" TargetMode="External"/><Relationship Id="rId113" Type="http://schemas.openxmlformats.org/officeDocument/2006/relationships/hyperlink" Target="https://www.bing.com/ck/a?!&amp;&amp;p=9aa0688c9c9fa7c72d9cda636145a5cc7e30d26ea6f6e8f706c4fad5a6d77028JmltdHM9MTczNzg0OTYwMA&amp;ptn=3&amp;ver=2&amp;hsh=4&amp;fclid=32dec67f-0e9d-6c0e-1dd2-d2f70fd56d95&amp;psq=uropean%2BUnion%2BGuidance%2BNote%2Bon%2B%22Leaving%2Bno%2Bone%2Bbehind%2B-%2BDisability%2BInclusion%2Bin%2BEU%2BExternal%2BAction%e2%80%9d%2c&amp;u=a1aHR0cHM6Ly9jYXBhY2l0eTRkZXYuZXVyb3BhLmV1L21lZGlhLzEzMTM0NS9kb3dubG9hZC9jNjljMzI3YS01NzE5LTRhZTktOTg0Yi04ZjE3OTNiODYwNGFfZW4&amp;ntb=1" TargetMode="External"/><Relationship Id="rId118" Type="http://schemas.openxmlformats.org/officeDocument/2006/relationships/hyperlink" Target="https://neighbourhood-enlargement.ec.europa.eu/ukraine-report-2024_en" TargetMode="External"/><Relationship Id="rId134" Type="http://schemas.openxmlformats.org/officeDocument/2006/relationships/image" Target="media/image5.png"/><Relationship Id="rId139" Type="http://schemas.openxmlformats.org/officeDocument/2006/relationships/customXml" Target="../customXml/item1.xml"/><Relationship Id="rId80" Type="http://schemas.openxmlformats.org/officeDocument/2006/relationships/hyperlink" Target="https://enil.eu/funding/" TargetMode="External"/><Relationship Id="rId85" Type="http://schemas.openxmlformats.org/officeDocument/2006/relationships/hyperlink" Target="https://www.eca.europa.eu/en/publications?ref=SR-2023-26" TargetMode="External"/><Relationship Id="rId12" Type="http://schemas.openxmlformats.org/officeDocument/2006/relationships/hyperlink" Target="http://www.enil.eu/" TargetMode="External"/><Relationship Id="rId17" Type="http://schemas.openxmlformats.org/officeDocument/2006/relationships/hyperlink" Target="https://www.eurofound.europa.eu/en/publications/2024/paths-towards-independent-living-and-social-inclusion-europe" TargetMode="External"/><Relationship Id="rId33" Type="http://schemas.openxmlformats.org/officeDocument/2006/relationships/hyperlink" Target="https://eur-lex.europa.eu/legal-content/EN/TXT/PDF/?uri=CELEX%3A52016XC0723(01)" TargetMode="External"/><Relationship Id="rId38" Type="http://schemas.openxmlformats.org/officeDocument/2006/relationships/hyperlink" Target="https://enil.eu/wp-content/uploads/2022/02/ENILEDF_DI-Global-Report_Final_forPublication_140222.pdf" TargetMode="External"/><Relationship Id="rId59" Type="http://schemas.openxmlformats.org/officeDocument/2006/relationships/hyperlink" Target="https://eur-lex.europa.eu/legal-content/EN/TXT/?uri=celex%3A52023PC0280" TargetMode="External"/><Relationship Id="rId103" Type="http://schemas.openxmlformats.org/officeDocument/2006/relationships/hyperlink" Target="https://eur-lex.europa.eu/eli/dir/2014/23/oj/eng" TargetMode="External"/><Relationship Id="rId108" Type="http://schemas.openxmlformats.org/officeDocument/2006/relationships/hyperlink" Target="https://eur-lex.europa.eu/eli/reg/2014/651/oj/eng" TargetMode="External"/><Relationship Id="rId124" Type="http://schemas.openxmlformats.org/officeDocument/2006/relationships/footer" Target="footer2.xml"/><Relationship Id="rId129" Type="http://schemas.openxmlformats.org/officeDocument/2006/relationships/hyperlink" Target="https://www.cencenelec.eu/aboutus/Pages/default.aspx" TargetMode="External"/><Relationship Id="rId54" Type="http://schemas.openxmlformats.org/officeDocument/2006/relationships/hyperlink" Target="https://eur-lex.europa.eu/legal-content/EN/TXT/?uri=celex%3A52023PC0280" TargetMode="External"/><Relationship Id="rId70" Type="http://schemas.openxmlformats.org/officeDocument/2006/relationships/hyperlink" Target="https://enil.eu/wp-content/uploads/2024/03/ENIL-Proposal_SoSe-of-Excellence_FINAL-Version.pdf" TargetMode="External"/><Relationship Id="rId75" Type="http://schemas.openxmlformats.org/officeDocument/2006/relationships/hyperlink" Target="https://commission.europa.eu/about/contact/problems-and-complaints/complaints-about-breaches-eu-law-member-states/report-breach-eu-law-eu-country_en" TargetMode="External"/><Relationship Id="rId91" Type="http://schemas.openxmlformats.org/officeDocument/2006/relationships/hyperlink" Target="https://commission.europa.eu/projects/modernisation-long-term-care_en" TargetMode="External"/><Relationship Id="rId96" Type="http://schemas.openxmlformats.org/officeDocument/2006/relationships/hyperlink" Target="https://commission.europa.eu/about/contact/problems-and-complaints/complaints-about-breaches-eu-law-member-states/report-breach-eu-law-eu-country_en" TargetMode="External"/><Relationship Id="rId14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eur-lex.europa.eu/legal-content/EN/TXT/?uri=celex%3A32014R0651" TargetMode="External"/><Relationship Id="rId28" Type="http://schemas.openxmlformats.org/officeDocument/2006/relationships/hyperlink" Target="https://ec.europa.eu/transparency/expert-groups-register/screen/expert-groups/consult?lang=en&amp;groupID=3802" TargetMode="External"/><Relationship Id="rId49" Type="http://schemas.openxmlformats.org/officeDocument/2006/relationships/hyperlink" Target="https://enil.eu/statement-of-the-european-network-on-independent-living-regarding-abuses-in-institutions-for-disabled-people-in-romania/" TargetMode="External"/><Relationship Id="rId114" Type="http://schemas.openxmlformats.org/officeDocument/2006/relationships/hyperlink" Target="https://www.bing.com/ck/a?!&amp;&amp;p=9aa0688c9c9fa7c72d9cda636145a5cc7e30d26ea6f6e8f706c4fad5a6d77028JmltdHM9MTczNzg0OTYwMA&amp;ptn=3&amp;ver=2&amp;hsh=4&amp;fclid=32dec67f-0e9d-6c0e-1dd2-d2f70fd56d95&amp;psq=uropean%2BUnion%2BGuidance%2BNote%2Bon%2B%22Leaving%2Bno%2Bone%2Bbehind%2B-%2BDisability%2BInclusion%2Bin%2BEU%2BExternal%2BAction%e2%80%9d%2c&amp;u=a1aHR0cHM6Ly9jYXBhY2l0eTRkZXYuZXVyb3BhLmV1L21lZGlhLzEzMTM0NS9kb3dubG9hZC9jNjljMzI3YS01NzE5LTRhZTktOTg0Yi04ZjE3OTNiODYwNGFfZW4&amp;ntb=1" TargetMode="External"/><Relationship Id="rId119" Type="http://schemas.openxmlformats.org/officeDocument/2006/relationships/hyperlink" Target="https://neighbourhood-enlargement.ec.europa.eu/ukraine-report-2024_en" TargetMode="External"/><Relationship Id="rId44" Type="http://schemas.openxmlformats.org/officeDocument/2006/relationships/hyperlink" Target="https://www.europarl.europa.eu/cmsdata/290965/Guidance_funding%20to%20lobbying%20activities_final%20Ares(2024)3320196-%2007052024.pdf" TargetMode="External"/><Relationship Id="rId60" Type="http://schemas.openxmlformats.org/officeDocument/2006/relationships/hyperlink" Target="https://eur-lex.europa.eu/legal-content/EN/TXT/?uri=celex%3A52023PC0280" TargetMode="External"/><Relationship Id="rId65" Type="http://schemas.openxmlformats.org/officeDocument/2006/relationships/hyperlink" Target="https://eur-lex.europa.eu/eli/reg/2004/883/oj/eng" TargetMode="External"/><Relationship Id="rId81" Type="http://schemas.openxmlformats.org/officeDocument/2006/relationships/hyperlink" Target="https://www.meosz.hu/wp-content/uploads/2023/07/Background-document-We-cannot-afford-to-build-more-barriers-1.pdf" TargetMode="External"/><Relationship Id="rId86" Type="http://schemas.openxmlformats.org/officeDocument/2006/relationships/hyperlink" Target="https://www.eca.europa.eu/en/publications?ref=SR-2023-26" TargetMode="External"/><Relationship Id="rId130" Type="http://schemas.openxmlformats.org/officeDocument/2006/relationships/footer" Target="footer4.xml"/><Relationship Id="rId135" Type="http://schemas.openxmlformats.org/officeDocument/2006/relationships/hyperlink" Target="mailto:AGRI-CHAP@ec.europa.eu" TargetMode="External"/><Relationship Id="rId13" Type="http://schemas.openxmlformats.org/officeDocument/2006/relationships/hyperlink" Target="mailto:secretariat@enil.eu" TargetMode="External"/><Relationship Id="rId18" Type="http://schemas.openxmlformats.org/officeDocument/2006/relationships/hyperlink" Target="https://www.eca.europa.eu/en/publications?ref=sr-2023-20" TargetMode="External"/><Relationship Id="rId39" Type="http://schemas.openxmlformats.org/officeDocument/2006/relationships/hyperlink" Target="https://enil.eu/wp-content/uploads/2022/02/ENILEDF_DI-Global-Report_Final_forPublication_140222.pdf" TargetMode="External"/><Relationship Id="rId109" Type="http://schemas.openxmlformats.org/officeDocument/2006/relationships/hyperlink" Target="https://enil.eu/campaigns/eu-state-aid-for-inclusive-employment/" TargetMode="External"/><Relationship Id="rId34" Type="http://schemas.openxmlformats.org/officeDocument/2006/relationships/hyperlink" Target="https://eur-lex.europa.eu/legal-content/EN/TXT/PDF/?uri=CELEX%3A52016XC0723(01)" TargetMode="External"/><Relationship Id="rId50" Type="http://schemas.openxmlformats.org/officeDocument/2006/relationships/hyperlink" Target="https://www.euractiv.com/section/politics/news/romania-horrified-by-inhumane-abuse-in-care-centres-for-disabled/" TargetMode="External"/><Relationship Id="rId55" Type="http://schemas.openxmlformats.org/officeDocument/2006/relationships/hyperlink" Target="https://eur-lex.europa.eu/legal-content/EN/TXT/?uri=celex%3A52023PC0280" TargetMode="External"/><Relationship Id="rId76" Type="http://schemas.openxmlformats.org/officeDocument/2006/relationships/hyperlink" Target="https://commission.europa.eu/about/contact/problems-and-complaints/complaints-about-breaches-eu-law-member-states/report-breach-eu-law-eu-country_en" TargetMode="External"/><Relationship Id="rId97" Type="http://schemas.openxmlformats.org/officeDocument/2006/relationships/hyperlink" Target="https://validity.ngo/2019/11/15/ngos-take-european-commission-to-court-for-funding-segregation-of-disabled-persons-in-bulgaria/" TargetMode="External"/><Relationship Id="rId104" Type="http://schemas.openxmlformats.org/officeDocument/2006/relationships/hyperlink" Target="https://eur-lex.europa.eu/eli/dir/2014/24/oj/eng" TargetMode="External"/><Relationship Id="rId120" Type="http://schemas.openxmlformats.org/officeDocument/2006/relationships/hyperlink" Target="http://www.enil.eu/" TargetMode="External"/><Relationship Id="rId125" Type="http://schemas.openxmlformats.org/officeDocument/2006/relationships/hyperlink" Target="https://www.ohchr.org/EN/HRBodies/CRPD/Pages/CRPDIndex.aspx" TargetMode="External"/><Relationship Id="rId141" Type="http://schemas.openxmlformats.org/officeDocument/2006/relationships/customXml" Target="../customXml/item3.xml"/><Relationship Id="rId7" Type="http://schemas.openxmlformats.org/officeDocument/2006/relationships/image" Target="media/image1.jpeg"/><Relationship Id="rId71" Type="http://schemas.openxmlformats.org/officeDocument/2006/relationships/hyperlink" Target="https://madeira.portugal2030.pt/wp-content/uploads/sites/17/2023/06/Texto_integral_sfc2021-PRG-2021PT16FFPR001-1.2_PRMADEIRA.pdf" TargetMode="External"/><Relationship Id="rId92" Type="http://schemas.openxmlformats.org/officeDocument/2006/relationships/hyperlink" Target="https://mrosp.gov.hr/vijesti/uruceni-ugovori-za-izgradnju-18-novih-centara-za-starije-osobe-vrijedni-gotovo-160-milijuna-eura/13182" TargetMode="External"/><Relationship Id="rId2" Type="http://schemas.openxmlformats.org/officeDocument/2006/relationships/styles" Target="styles.xml"/><Relationship Id="rId29" Type="http://schemas.openxmlformats.org/officeDocument/2006/relationships/hyperlink" Target="https://ec.europa.eu/transparency/expert-groups-register/screen/expert-groups/consult?lang=en&amp;groupID=3802" TargetMode="External"/><Relationship Id="rId24" Type="http://schemas.openxmlformats.org/officeDocument/2006/relationships/hyperlink" Target="https://ec.europa.eu/commission/presscorner/detail/en/ip_22_5169" TargetMode="External"/><Relationship Id="rId40" Type="http://schemas.openxmlformats.org/officeDocument/2006/relationships/hyperlink" Target="https://employment-social-affairs.ec.europa.eu/news/commission-adopts-guidance-independent-living-persons-disabilities-2024-11-20_en" TargetMode="External"/><Relationship Id="rId45" Type="http://schemas.openxmlformats.org/officeDocument/2006/relationships/hyperlink" Target="https://www.europarl.europa.eu/cmsdata/290965/Guidance_funding%20to%20lobbying%20activities_final%20Ares(2024)3320196-%2007052024.pdf" TargetMode="External"/><Relationship Id="rId66" Type="http://schemas.openxmlformats.org/officeDocument/2006/relationships/hyperlink" Target="https://eur-lex.europa.eu/eli/reg/2004/883/oj/eng" TargetMode="External"/><Relationship Id="rId87" Type="http://schemas.openxmlformats.org/officeDocument/2006/relationships/hyperlink" Target="https://www.granadadigital.es/junta-promueve-construccion-15-residencias-centros-dia-mayores-discapacitados-provincia/" TargetMode="External"/><Relationship Id="rId110" Type="http://schemas.openxmlformats.org/officeDocument/2006/relationships/hyperlink" Target="https://eur-lex.europa.eu/legal-content/EN/TXT/?uri=legissum%3A4532503" TargetMode="External"/><Relationship Id="rId115" Type="http://schemas.openxmlformats.org/officeDocument/2006/relationships/hyperlink" Target="https://eur-lex.europa.eu/legal-content/EN/TXT/?uri=celex%3A52021DC0101" TargetMode="External"/><Relationship Id="rId131" Type="http://schemas.openxmlformats.org/officeDocument/2006/relationships/footer" Target="footer5.xml"/><Relationship Id="rId136" Type="http://schemas.openxmlformats.org/officeDocument/2006/relationships/footer" Target="footer7.xml"/><Relationship Id="rId82" Type="http://schemas.openxmlformats.org/officeDocument/2006/relationships/hyperlink" Target="https://www.ombudsman.europa.eu/en/decision/en/130886" TargetMode="External"/><Relationship Id="rId19" Type="http://schemas.openxmlformats.org/officeDocument/2006/relationships/hyperlink" Target="https://employment-social-affairs.ec.europa.eu/policies-and-activities/social-protection-social-inclusion/persons-disabilities_en" TargetMode="External"/><Relationship Id="rId14" Type="http://schemas.openxmlformats.org/officeDocument/2006/relationships/hyperlink" Target="https://enil.eu/il-map/" TargetMode="External"/><Relationship Id="rId30" Type="http://schemas.openxmlformats.org/officeDocument/2006/relationships/hyperlink" Target="https://op.europa.eu/en/web/who-is-who" TargetMode="External"/><Relationship Id="rId35" Type="http://schemas.openxmlformats.org/officeDocument/2006/relationships/hyperlink" Target="https://ec.europa.eu/transparency/expert-groups-register/screen/expert-groups/consult?lang=en&amp;groupID=3802" TargetMode="External"/><Relationship Id="rId56" Type="http://schemas.openxmlformats.org/officeDocument/2006/relationships/hyperlink" Target="https://eur-lex.europa.eu/legal-content/EN/TXT/?uri=celex%3A52023PC0280" TargetMode="External"/><Relationship Id="rId77" Type="http://schemas.openxmlformats.org/officeDocument/2006/relationships/hyperlink" Target="https://enil.eu/wp-content/uploads/2025/01/ENIL-Briefing-on-EU-Funds_with-Annex.pdf" TargetMode="External"/><Relationship Id="rId100" Type="http://schemas.openxmlformats.org/officeDocument/2006/relationships/hyperlink" Target="https://eur-lex.europa.eu/legal-content/EN/TXT/?uri=CELEX%3A52022DC0440" TargetMode="External"/><Relationship Id="rId105" Type="http://schemas.openxmlformats.org/officeDocument/2006/relationships/hyperlink" Target="https://eur-lex.europa.eu/eli/dir/2014/24/oj/eng" TargetMode="External"/><Relationship Id="rId126" Type="http://schemas.openxmlformats.org/officeDocument/2006/relationships/hyperlink" Target="http://www.ohchr.org/EN/HRBodies/CRPD/Pages/CRPDIndex.aspx" TargetMode="External"/><Relationship Id="rId8" Type="http://schemas.openxmlformats.org/officeDocument/2006/relationships/hyperlink" Target="https://tbinternet.ohchr.org/_layouts/15/treatybodyexternal/Download.aspx?symbolno=INT%2FCRPD%2FICS%2FEUR%2F47874&amp;Lang=en" TargetMode="External"/><Relationship Id="rId51" Type="http://schemas.openxmlformats.org/officeDocument/2006/relationships/hyperlink" Target="https://www.euractiv.com/section/politics/news/romania-horrified-by-inhumane-abuse-in-care-centres-for-disabled/" TargetMode="External"/><Relationship Id="rId72" Type="http://schemas.openxmlformats.org/officeDocument/2006/relationships/hyperlink" Target="https://kohesio.ec.europa.eu/en/" TargetMode="External"/><Relationship Id="rId93" Type="http://schemas.openxmlformats.org/officeDocument/2006/relationships/hyperlink" Target="https://ec.europa.eu/regional_policy/policy/communities-and-networks/ecopp_en" TargetMode="External"/><Relationship Id="rId98" Type="http://schemas.openxmlformats.org/officeDocument/2006/relationships/hyperlink" Target="https://eur-lex.europa.eu/legal-content/EN/TXT/?uri=oj%3AJOC_2020_371_R_0015" TargetMode="External"/><Relationship Id="rId121" Type="http://schemas.openxmlformats.org/officeDocument/2006/relationships/hyperlink" Target="mailto:rita.crespo-fernandez@enil.eu" TargetMode="External"/><Relationship Id="rId3" Type="http://schemas.openxmlformats.org/officeDocument/2006/relationships/settings" Target="settings.xml"/><Relationship Id="rId25" Type="http://schemas.openxmlformats.org/officeDocument/2006/relationships/hyperlink" Target="https://ec.europa.eu/commission/presscorner/detail/en/ip_22_5169" TargetMode="External"/><Relationship Id="rId46" Type="http://schemas.openxmlformats.org/officeDocument/2006/relationships/hyperlink" Target="https://www.europarl.europa.eu/cmsdata/290965/Guidance_funding%20to%20lobbying%20activities_final%20Ares(2024)3320196-%2007052024.pdf" TargetMode="External"/><Relationship Id="rId67" Type="http://schemas.openxmlformats.org/officeDocument/2006/relationships/hyperlink" Target="https://enil.eu/enil-welcomes-new-guidance-on-independent-living-by-the-european-commission/" TargetMode="External"/><Relationship Id="rId116" Type="http://schemas.openxmlformats.org/officeDocument/2006/relationships/hyperlink" Target="https://news.cision.com/loza-foundation/r/eu-grant-to-loza-foundation---demir-kapija-residents-can-finally-move-out-from-the-institution%2Cc3043172" TargetMode="External"/><Relationship Id="rId137" Type="http://schemas.openxmlformats.org/officeDocument/2006/relationships/fontTable" Target="fontTable.xml"/><Relationship Id="rId20" Type="http://schemas.openxmlformats.org/officeDocument/2006/relationships/hyperlink" Target="https://eur-lex.europa.eu/legal-content/EN/TXT/?uri=celex%3A52023PC0280" TargetMode="External"/><Relationship Id="rId41" Type="http://schemas.openxmlformats.org/officeDocument/2006/relationships/hyperlink" Target="https://employment-social-affairs.ec.europa.eu/news/commission-adopts-guidance-independent-living-persons-disabilities-2024-11-20_en" TargetMode="External"/><Relationship Id="rId62" Type="http://schemas.openxmlformats.org/officeDocument/2006/relationships/hyperlink" Target="https://eur-lex.europa.eu/legal-content/EN/TXT/?uri=celex%3A52023PC0280" TargetMode="External"/><Relationship Id="rId83" Type="http://schemas.openxmlformats.org/officeDocument/2006/relationships/hyperlink" Target="https://employment-social-affairs.ec.europa.eu/news/commission-adopts-guidance-independent-living-persons-disabilities-2024-11-20_en" TargetMode="External"/><Relationship Id="rId88" Type="http://schemas.openxmlformats.org/officeDocument/2006/relationships/hyperlink" Target="https://www.granadadigital.es/junta-promueve-construccion-15-residencias-centros-dia-mayores-discapacitados-provincia/" TargetMode="External"/><Relationship Id="rId111" Type="http://schemas.openxmlformats.org/officeDocument/2006/relationships/hyperlink" Target="https://eur-lex.europa.eu/legal-content/EN/TXT/?uri=legissum%3A4532503" TargetMode="External"/><Relationship Id="rId132" Type="http://schemas.openxmlformats.org/officeDocument/2006/relationships/image" Target="media/image4.jpeg"/><Relationship Id="rId15" Type="http://schemas.openxmlformats.org/officeDocument/2006/relationships/hyperlink" Target="https://enil.eu/independent-living/" TargetMode="External"/><Relationship Id="rId36" Type="http://schemas.openxmlformats.org/officeDocument/2006/relationships/hyperlink" Target="https://ec.europa.eu/transparency/expert-groups-register/screen/expert-groups/consult?lang=en&amp;groupID=3802" TargetMode="External"/><Relationship Id="rId57" Type="http://schemas.openxmlformats.org/officeDocument/2006/relationships/hyperlink" Target="https://enil.eu/wp-content/uploads/2024/07/BODYS_Directive-on-the-Protection-of-Adults_Position_TD.pdf" TargetMode="External"/><Relationship Id="rId106" Type="http://schemas.openxmlformats.org/officeDocument/2006/relationships/hyperlink" Target="https://eur-lex.europa.eu/eli/reg/2014/651/oj/eng" TargetMode="External"/><Relationship Id="rId127" Type="http://schemas.openxmlformats.org/officeDocument/2006/relationships/footer" Target="footer3.xml"/><Relationship Id="rId10" Type="http://schemas.openxmlformats.org/officeDocument/2006/relationships/hyperlink" Target="https://tbinternet.ohchr.org/_layouts/15/treatybodyexternal/Download.aspx?symbolno=INT%2FCRPD%2FICS%2FEUR%2F47874&amp;Lang=en" TargetMode="External"/><Relationship Id="rId31" Type="http://schemas.openxmlformats.org/officeDocument/2006/relationships/hyperlink" Target="https://enil.eu/enil-and-il-austria-complain-to-the-european-commission/" TargetMode="External"/><Relationship Id="rId52" Type="http://schemas.openxmlformats.org/officeDocument/2006/relationships/hyperlink" Target="https://enil.eu/wp-content/uploads/2022/12/EC-reply-to-our-reply-1st-complaint.pdf" TargetMode="External"/><Relationship Id="rId73" Type="http://schemas.openxmlformats.org/officeDocument/2006/relationships/hyperlink" Target="https://enil.eu/wp-content/uploads/2025/01/ENIL-Briefing-on-EU-Funds_with-Annex.pdf" TargetMode="External"/><Relationship Id="rId78" Type="http://schemas.openxmlformats.org/officeDocument/2006/relationships/hyperlink" Target="https://enil.eu/wp-content/uploads/2025/01/ENIL-Briefing-on-EU-Funds_with-Annex.pdf" TargetMode="External"/><Relationship Id="rId94" Type="http://schemas.openxmlformats.org/officeDocument/2006/relationships/hyperlink" Target="https://ec.europa.eu/regional_policy/policy/communities-and-networks/ecopp_en" TargetMode="External"/><Relationship Id="rId99" Type="http://schemas.openxmlformats.org/officeDocument/2006/relationships/hyperlink" Target="https://eur-lex.europa.eu/legal-content/EN/TXT/?uri=CELEX%3A52022DC0440" TargetMode="External"/><Relationship Id="rId101" Type="http://schemas.openxmlformats.org/officeDocument/2006/relationships/hyperlink" Target="https://knowledgehub.easpd.eu/local/dlotcms/resources.php?id=637" TargetMode="External"/><Relationship Id="rId122"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tbinternet.ohchr.org/_layouts/15/treatybodyexternal/Download.aspx?symbolno=INT%2FCRPD%2FICS%2FEUR%2F47874&amp;Lang=en" TargetMode="External"/><Relationship Id="rId26" Type="http://schemas.openxmlformats.org/officeDocument/2006/relationships/hyperlink" Target="https://www.ohchr.org/en/documents/country-reports/ahrc5232add1-visit-european-union-report-special-rapporteur-rights" TargetMode="External"/><Relationship Id="rId47" Type="http://schemas.openxmlformats.org/officeDocument/2006/relationships/hyperlink" Target="https://www.europarl.europa.eu/legislative-train/theme-area-of-justice-and-fundamental-rights/file-anti-discrimination-directive" TargetMode="External"/><Relationship Id="rId68" Type="http://schemas.openxmlformats.org/officeDocument/2006/relationships/hyperlink" Target="https://employment-social-affairs.ec.europa.eu/news/commission-adopts-guidance-independent-living-persons-disabilities-2024-11-20_en" TargetMode="External"/><Relationship Id="rId89" Type="http://schemas.openxmlformats.org/officeDocument/2006/relationships/hyperlink" Target="https://www.eca.europa.eu/en/publications?ref=SR-2023-26" TargetMode="External"/><Relationship Id="rId112" Type="http://schemas.openxmlformats.org/officeDocument/2006/relationships/hyperlink" Target="https://www.bing.com/ck/a?!&amp;&amp;p=9aa0688c9c9fa7c72d9cda636145a5cc7e30d26ea6f6e8f706c4fad5a6d77028JmltdHM9MTczNzg0OTYwMA&amp;ptn=3&amp;ver=2&amp;hsh=4&amp;fclid=32dec67f-0e9d-6c0e-1dd2-d2f70fd56d95&amp;psq=uropean%2BUnion%2BGuidance%2BNote%2Bon%2B%22Leaving%2Bno%2Bone%2Bbehind%2B-%2BDisability%2BInclusion%2Bin%2BEU%2BExternal%2BAction%e2%80%9d%2c&amp;u=a1aHR0cHM6Ly9jYXBhY2l0eTRkZXYuZXVyb3BhLmV1L21lZGlhLzEzMTM0NS9kb3dubG9hZC9jNjljMzI3YS01NzE5LTRhZTktOTg0Yi04ZjE3OTNiODYwNGFfZW4&amp;ntb=1" TargetMode="External"/><Relationship Id="rId133"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3F5FACD05E93499D4EAF05403D4F75" ma:contentTypeVersion="38" ma:contentTypeDescription="Create a new document." ma:contentTypeScope="" ma:versionID="127fe84789a620bdd45bcfe32ddebe55">
  <xsd:schema xmlns:xsd="http://www.w3.org/2001/XMLSchema" xmlns:xs="http://www.w3.org/2001/XMLSchema" xmlns:p="http://schemas.microsoft.com/office/2006/metadata/properties" xmlns:ns3="985ec44e-1bab-4c0b-9df0-6ba128686fc9" xmlns:ns4="11a6fe0c-d8de-4390-afb3-d9c7c54181f0" xmlns:ns5="c43d6523-f909-4250-bbe1-6bcdc0c7194c" targetNamespace="http://schemas.microsoft.com/office/2006/metadata/properties" ma:root="true" ma:fieldsID="b3a877cc48d09ceba068dfb3167324d5" ns3:_="" ns4:_="" ns5:_="">
    <xsd:import namespace="985ec44e-1bab-4c0b-9df0-6ba128686fc9"/>
    <xsd:import namespace="11a6fe0c-d8de-4390-afb3-d9c7c54181f0"/>
    <xsd:import namespace="c43d6523-f909-4250-bbe1-6bcdc0c7194c"/>
    <xsd:element name="properties">
      <xsd:complexType>
        <xsd:sequence>
          <xsd:element name="documentManagement">
            <xsd:complexType>
              <xsd:all>
                <xsd:element ref="ns3:UN_x0020_Official_x0020_Language" minOccurs="0"/>
                <xsd:element ref="ns3:Security_x0020_Level" minOccurs="0"/>
                <xsd:element ref="ns3:Document_x0020_Date" minOccurs="0"/>
                <xsd:element ref="ns3:Document_x0020_Type" minOccurs="0"/>
                <xsd:element ref="ns4:UD_x0020_Added_x0020_By" minOccurs="0"/>
                <xsd:element ref="ns4:UD_x0020_Added_x0020_On" minOccurs="0"/>
                <xsd:element ref="ns4:UD_x0020_Modified_x0020_By" minOccurs="0"/>
                <xsd:element ref="ns4:UD_x0020_Modified_x0020_On" minOccurs="0"/>
                <xsd:element ref="ns4:UD_x0020_Office_x0020_of_x0020_Origin" minOccurs="0"/>
                <xsd:element ref="ns4:Session" minOccurs="0"/>
                <xsd:element ref="ns4:Meeting" minOccurs="0"/>
                <xsd:element ref="ns4:Thematic_x0020_Area" minOccurs="0"/>
                <xsd:element ref="ns4:Country" minOccurs="0"/>
                <xsd:element ref="ns4:Donor" minOccurs="0"/>
                <xsd:element ref="ns4:Field_x0020_Office" minOccurs="0"/>
                <xsd:element ref="ns4:Project_x0020_Name" minOccurs="0"/>
                <xsd:element ref="ns4:Report_x0020_Type" minOccurs="0"/>
                <xsd:element ref="ns4:Treaty_x0020_Body" minOccurs="0"/>
                <xsd:element ref="ns4:Working_x0020_Group" minOccurs="0"/>
                <xsd:element ref="ns5:MediaServiceMetadata" minOccurs="0"/>
                <xsd:element ref="ns5:MediaServiceFastMetadata" minOccurs="0"/>
                <xsd:element ref="ns5:MediaServiceDateTaken" minOccurs="0"/>
                <xsd:element ref="ns5:MediaLengthInSeconds" minOccurs="0"/>
                <xsd:element ref="ns4:SharedWithUsers" minOccurs="0"/>
                <xsd:element ref="ns4:SharedWithDetails" minOccurs="0"/>
                <xsd:element ref="ns5:MediaServiceObjectDetectorVersions" minOccurs="0"/>
                <xsd:element ref="ns5:MediaServiceSearchProperties" minOccurs="0"/>
                <xsd:element ref="ns5:MediaServiceGenerationTime" minOccurs="0"/>
                <xsd:element ref="ns5:MediaServiceEventHashCode" minOccurs="0"/>
                <xsd:element ref="ns5:lcf76f155ced4ddcb4097134ff3c332f" minOccurs="0"/>
                <xsd:element ref="ns3:TaxCatchAll" minOccurs="0"/>
                <xsd:element ref="ns5:MediaServiceOCR"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UN_x0020_Official_x0020_Language" ma:index="9" nillable="true" ma:displayName="Language (UN's Official)" ma:format="Dropdown" ma:internalName="UN_x0020_Official_x0020_Language">
      <xsd:simpleType>
        <xsd:restriction base="dms:Choice">
          <xsd:enumeration value="Arabic"/>
          <xsd:enumeration value="Chinese"/>
          <xsd:enumeration value="English"/>
          <xsd:enumeration value="French"/>
          <xsd:enumeration value="Russian"/>
          <xsd:enumeration value="Spanish"/>
        </xsd:restriction>
      </xsd:simpleType>
    </xsd:element>
    <xsd:element name="Security_x0020_Level" ma:index="10" nillable="true" ma:displayName="Security Level" ma:format="RadioButtons" ma:internalName="Security_x0020_Level">
      <xsd:simpleType>
        <xsd:restriction base="dms:Choice">
          <xsd:enumeration value="Unclassified"/>
          <xsd:enumeration value="Confidential"/>
          <xsd:enumeration value="Strictly Confidential"/>
        </xsd:restriction>
      </xsd:simpleType>
    </xsd:element>
    <xsd:element name="Document_x0020_Date" ma:index="11" nillable="true" ma:displayName="Document Date" ma:default="[today]" ma:description="The date when the file was drafted" ma:format="DateOnly" ma:internalName="Document_x0020_Date">
      <xsd:simpleType>
        <xsd:restriction base="dms:DateTime"/>
      </xsd:simpleType>
    </xsd:element>
    <xsd:element name="Document_x0020_Type" ma:index="12" nillable="true" ma:displayName="Document Type" ma:format="Dropdown" ma:internalName="Document_x0020_Type">
      <xsd:simpleType>
        <xsd:restriction base="dms:Choice">
          <xsd:enumeration value="Code Cable"/>
          <xsd:enumeration value="Facsimile"/>
          <xsd:enumeration value="Form"/>
          <xsd:enumeration value="General Document"/>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 ma:index="42" nillable="true" ma:displayName="Taxonomy Catch All Column" ma:hidden="true" ma:list="{f274aed0-69a4-4e1d-a03f-4a4dac4a7807}" ma:internalName="TaxCatchAll" ma:showField="CatchAllData" ma:web="11a6fe0c-d8de-4390-afb3-d9c7c54181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a6fe0c-d8de-4390-afb3-d9c7c54181f0" elementFormDefault="qualified">
    <xsd:import namespace="http://schemas.microsoft.com/office/2006/documentManagement/types"/>
    <xsd:import namespace="http://schemas.microsoft.com/office/infopath/2007/PartnerControls"/>
    <xsd:element name="UD_x0020_Added_x0020_By" ma:index="15" nillable="true" ma:displayName="UD Added By" ma:internalName="UD_x0020_Added_x0020_By">
      <xsd:simpleType>
        <xsd:restriction base="dms:Text">
          <xsd:maxLength value="255"/>
        </xsd:restriction>
      </xsd:simpleType>
    </xsd:element>
    <xsd:element name="UD_x0020_Added_x0020_On" ma:index="16" nillable="true" ma:displayName="UD Added On" ma:format="DateOnly" ma:internalName="UD_x0020_Added_x0020_On">
      <xsd:simpleType>
        <xsd:restriction base="dms:DateTime"/>
      </xsd:simpleType>
    </xsd:element>
    <xsd:element name="UD_x0020_Modified_x0020_By" ma:index="17" nillable="true" ma:displayName="UD Modified By" ma:internalName="UD_x0020_Modified_x0020_By">
      <xsd:simpleType>
        <xsd:restriction base="dms:Text">
          <xsd:maxLength value="255"/>
        </xsd:restriction>
      </xsd:simpleType>
    </xsd:element>
    <xsd:element name="UD_x0020_Modified_x0020_On" ma:index="18" nillable="true" ma:displayName="UD Modified On" ma:format="DateOnly" ma:internalName="UD_x0020_Modified_x0020_On">
      <xsd:simpleType>
        <xsd:restriction base="dms:DateTime"/>
      </xsd:simpleType>
    </xsd:element>
    <xsd:element name="UD_x0020_Office_x0020_of_x0020_Origin" ma:index="19" nillable="true" ma:displayName="UD Office of Origin" ma:internalName="UD_x0020_Office_x0020_of_x0020_Origin">
      <xsd:simpleType>
        <xsd:restriction base="dms:Text">
          <xsd:maxLength value="255"/>
        </xsd:restriction>
      </xsd:simpleType>
    </xsd:element>
    <xsd:element name="Session" ma:index="20" nillable="true" ma:displayName="Session" ma:internalName="Session">
      <xsd:simpleType>
        <xsd:restriction base="dms:Text">
          <xsd:maxLength value="255"/>
        </xsd:restriction>
      </xsd:simpleType>
    </xsd:element>
    <xsd:element name="Meeting" ma:index="21" nillable="true" ma:displayName="Meeting" ma:internalName="Meeting">
      <xsd:simpleType>
        <xsd:restriction base="dms:Text">
          <xsd:maxLength value="255"/>
        </xsd:restriction>
      </xsd:simpleType>
    </xsd:element>
    <xsd:element name="Thematic_x0020_Area" ma:index="22" nillable="true" ma:displayName="Thematic Area" ma:internalName="Thematic_x0020_Area">
      <xsd:simpleType>
        <xsd:restriction base="dms:Text">
          <xsd:maxLength value="255"/>
        </xsd:restriction>
      </xsd:simpleType>
    </xsd:element>
    <xsd:element name="Country" ma:index="23" nillable="true" ma:displayName="Country" ma:internalName="Country">
      <xsd:simpleType>
        <xsd:restriction base="dms:Text">
          <xsd:maxLength value="255"/>
        </xsd:restriction>
      </xsd:simpleType>
    </xsd:element>
    <xsd:element name="Donor" ma:index="24" nillable="true" ma:displayName="Donor" ma:internalName="Donor">
      <xsd:simpleType>
        <xsd:restriction base="dms:Text">
          <xsd:maxLength value="255"/>
        </xsd:restriction>
      </xsd:simpleType>
    </xsd:element>
    <xsd:element name="Field_x0020_Office" ma:index="25" nillable="true" ma:displayName="Field Office" ma:internalName="Field_x0020_Office">
      <xsd:simpleType>
        <xsd:restriction base="dms:Text">
          <xsd:maxLength value="255"/>
        </xsd:restriction>
      </xsd:simpleType>
    </xsd:element>
    <xsd:element name="Project_x0020_Name" ma:index="26" nillable="true" ma:displayName="Project Name" ma:internalName="Project_x0020_Name">
      <xsd:simpleType>
        <xsd:restriction base="dms:Text">
          <xsd:maxLength value="255"/>
        </xsd:restriction>
      </xsd:simpleType>
    </xsd:element>
    <xsd:element name="Report_x0020_Type" ma:index="27" nillable="true" ma:displayName="Report Type" ma:internalName="Report_x0020_Type">
      <xsd:simpleType>
        <xsd:restriction base="dms:Text">
          <xsd:maxLength value="255"/>
        </xsd:restriction>
      </xsd:simpleType>
    </xsd:element>
    <xsd:element name="Treaty_x0020_Body" ma:index="28" nillable="true" ma:displayName="Treaty Body" ma:internalName="Treaty_x0020_Body">
      <xsd:simpleType>
        <xsd:restriction base="dms:Text">
          <xsd:maxLength value="255"/>
        </xsd:restriction>
      </xsd:simpleType>
    </xsd:element>
    <xsd:element name="Working_x0020_Group" ma:index="29" nillable="true" ma:displayName="Working Group" ma:internalName="Working_x0020_Group">
      <xsd:simpleType>
        <xsd:restriction base="dms:Text">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d6523-f909-4250-bbe1-6bcdc0c7194c"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43" nillable="true" ma:displayName="Extracted Text" ma:internalName="MediaServiceOCR" ma:readOnly="true">
      <xsd:simpleType>
        <xsd:restriction base="dms:Note">
          <xsd:maxLength value="255"/>
        </xsd:restriction>
      </xsd:simpleType>
    </xsd:element>
    <xsd:element name="MediaServiceLocation" ma:index="4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Date xmlns="985ec44e-1bab-4c0b-9df0-6ba128686fc9">2025-01-27T15:29:19+00:00</Document_x0020_Date>
    <Donor xmlns="11a6fe0c-d8de-4390-afb3-d9c7c54181f0" xsi:nil="true"/>
    <Report_x0020_Type xmlns="11a6fe0c-d8de-4390-afb3-d9c7c54181f0" xsi:nil="true"/>
    <Field_x0020_Office xmlns="11a6fe0c-d8de-4390-afb3-d9c7c54181f0" xsi:nil="true"/>
    <Document_x0020_Type xmlns="985ec44e-1bab-4c0b-9df0-6ba128686fc9" xsi:nil="true"/>
    <UD_x0020_Added_x0020_On xmlns="11a6fe0c-d8de-4390-afb3-d9c7c54181f0" xsi:nil="true"/>
    <UD_x0020_Modified_x0020_By xmlns="11a6fe0c-d8de-4390-afb3-d9c7c54181f0" xsi:nil="true"/>
    <UD_x0020_Modified_x0020_On xmlns="11a6fe0c-d8de-4390-afb3-d9c7c54181f0" xsi:nil="true"/>
    <Working_x0020_Group xmlns="11a6fe0c-d8de-4390-afb3-d9c7c54181f0" xsi:nil="true"/>
    <TaxCatchAll xmlns="985ec44e-1bab-4c0b-9df0-6ba128686fc9" xsi:nil="true"/>
    <Thematic_x0020_Area xmlns="11a6fe0c-d8de-4390-afb3-d9c7c54181f0" xsi:nil="true"/>
    <UD_x0020_Added_x0020_By xmlns="11a6fe0c-d8de-4390-afb3-d9c7c54181f0" xsi:nil="true"/>
    <Project_x0020_Name xmlns="11a6fe0c-d8de-4390-afb3-d9c7c54181f0" xsi:nil="true"/>
    <Session xmlns="11a6fe0c-d8de-4390-afb3-d9c7c54181f0" xsi:nil="true"/>
    <Meeting xmlns="11a6fe0c-d8de-4390-afb3-d9c7c54181f0" xsi:nil="true"/>
    <UD_x0020_Office_x0020_of_x0020_Origin xmlns="11a6fe0c-d8de-4390-afb3-d9c7c54181f0" xsi:nil="true"/>
    <Country xmlns="11a6fe0c-d8de-4390-afb3-d9c7c54181f0" xsi:nil="true"/>
    <lcf76f155ced4ddcb4097134ff3c332f xmlns="c43d6523-f909-4250-bbe1-6bcdc0c7194c">
      <Terms xmlns="http://schemas.microsoft.com/office/infopath/2007/PartnerControls"/>
    </lcf76f155ced4ddcb4097134ff3c332f>
    <Security_x0020_Level xmlns="985ec44e-1bab-4c0b-9df0-6ba128686fc9" xsi:nil="true"/>
    <UN_x0020_Official_x0020_Language xmlns="985ec44e-1bab-4c0b-9df0-6ba128686fc9" xsi:nil="true"/>
    <Treaty_x0020_Body xmlns="11a6fe0c-d8de-4390-afb3-d9c7c54181f0" xsi:nil="true"/>
  </documentManagement>
</p:properties>
</file>

<file path=customXml/itemProps1.xml><?xml version="1.0" encoding="utf-8"?>
<ds:datastoreItem xmlns:ds="http://schemas.openxmlformats.org/officeDocument/2006/customXml" ds:itemID="{254C8B1D-7D30-44D0-AC77-F08AFC1A76C8}"/>
</file>

<file path=customXml/itemProps2.xml><?xml version="1.0" encoding="utf-8"?>
<ds:datastoreItem xmlns:ds="http://schemas.openxmlformats.org/officeDocument/2006/customXml" ds:itemID="{8877B198-620F-4724-8CBF-84AB511CDFF3}"/>
</file>

<file path=customXml/itemProps3.xml><?xml version="1.0" encoding="utf-8"?>
<ds:datastoreItem xmlns:ds="http://schemas.openxmlformats.org/officeDocument/2006/customXml" ds:itemID="{9A279A5F-10BA-4461-9ADC-34A067AB731E}"/>
</file>

<file path=docProps/app.xml><?xml version="1.0" encoding="utf-8"?>
<Properties xmlns="http://schemas.openxmlformats.org/officeDocument/2006/extended-properties" xmlns:vt="http://schemas.openxmlformats.org/officeDocument/2006/docPropsVTypes">
  <Template>Normal.dotm</Template>
  <TotalTime>15</TotalTime>
  <Pages>37</Pages>
  <Words>14792</Words>
  <Characters>84319</Characters>
  <Application>Microsoft Office Word</Application>
  <DocSecurity>0</DocSecurity>
  <Lines>702</Lines>
  <Paragraphs>197</Paragraphs>
  <ScaleCrop>false</ScaleCrop>
  <Company/>
  <LinksUpToDate>false</LinksUpToDate>
  <CharactersWithSpaces>98914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Crespo</dc:creator>
  <cp:lastModifiedBy>Ines Bulic</cp:lastModifiedBy>
  <cp:revision>3</cp:revision>
  <dcterms:created xsi:type="dcterms:W3CDTF">2025-01-27T10:05:00Z</dcterms:created>
  <dcterms:modified xsi:type="dcterms:W3CDTF">2025-01-27T10:15:00Z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LastSaved">
    <vt:filetime>2025-01-27T00:00:00Z</vt:filetime>
  </property>
  <property fmtid="{D5CDD505-2E9C-101B-9397-08002B2CF9AE}" pid="4" name="Producer">
    <vt:lpwstr>iLovePDF</vt:lpwstr>
  </property>
  <property fmtid="{D5CDD505-2E9C-101B-9397-08002B2CF9AE}" pid="5" name="ContentTypeId">
    <vt:lpwstr>0x0101001A3F5FACD05E93499D4EAF05403D4F75</vt:lpwstr>
  </property>
</Properties>
</file>