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E833" w14:textId="77777777" w:rsidR="00D92A6F" w:rsidRDefault="00D92A6F" w:rsidP="006728F4">
      <w:pPr>
        <w:spacing w:after="0"/>
        <w:jc w:val="center"/>
        <w:rPr>
          <w:b/>
          <w:bCs/>
          <w:sz w:val="24"/>
          <w:szCs w:val="24"/>
        </w:rPr>
      </w:pPr>
    </w:p>
    <w:p w14:paraId="5E5787A5" w14:textId="23F17908" w:rsidR="00063C03" w:rsidRPr="006A4FC4" w:rsidRDefault="2248BBCC" w:rsidP="006728F4">
      <w:pPr>
        <w:spacing w:after="0"/>
        <w:jc w:val="center"/>
        <w:rPr>
          <w:b/>
          <w:bCs/>
          <w:sz w:val="24"/>
          <w:szCs w:val="24"/>
        </w:rPr>
      </w:pPr>
      <w:r w:rsidRPr="006A4FC4">
        <w:rPr>
          <w:b/>
          <w:bCs/>
          <w:sz w:val="24"/>
          <w:szCs w:val="24"/>
        </w:rPr>
        <w:t xml:space="preserve">Joint statement </w:t>
      </w:r>
      <w:r w:rsidR="006728F4" w:rsidRPr="006A4FC4">
        <w:rPr>
          <w:b/>
          <w:bCs/>
          <w:sz w:val="24"/>
          <w:szCs w:val="24"/>
        </w:rPr>
        <w:t>welcoming the suspension of the adoption of the</w:t>
      </w:r>
      <w:r w:rsidRPr="006A4FC4">
        <w:rPr>
          <w:b/>
          <w:bCs/>
          <w:sz w:val="24"/>
          <w:szCs w:val="24"/>
        </w:rPr>
        <w:t xml:space="preserve"> draft Additional Protocol to the Oviedo Convention</w:t>
      </w:r>
    </w:p>
    <w:p w14:paraId="70444F87" w14:textId="360B2AAE" w:rsidR="2248BBCC" w:rsidRDefault="2248BBCC" w:rsidP="2248BBCC">
      <w:pPr>
        <w:spacing w:after="0"/>
        <w:jc w:val="both"/>
        <w:rPr>
          <w:b/>
          <w:bCs/>
        </w:rPr>
      </w:pPr>
    </w:p>
    <w:p w14:paraId="6CF23216" w14:textId="447CCCC8" w:rsidR="00C671AF" w:rsidRDefault="00C671AF" w:rsidP="00C671AF">
      <w:pPr>
        <w:spacing w:after="0"/>
        <w:jc w:val="both"/>
      </w:pPr>
      <w:r>
        <w:t xml:space="preserve">We, </w:t>
      </w:r>
      <w:r w:rsidRPr="006A4FC4">
        <w:t>organi</w:t>
      </w:r>
      <w:r w:rsidR="00F35206">
        <w:t>s</w:t>
      </w:r>
      <w:r w:rsidRPr="006A4FC4">
        <w:t>ations of persons with disabilities, non-governmental organisations</w:t>
      </w:r>
      <w:r>
        <w:t>,</w:t>
      </w:r>
      <w:r w:rsidRPr="006A4FC4">
        <w:t xml:space="preserve"> international and human rights bodies</w:t>
      </w:r>
      <w:r w:rsidR="00E50BEB">
        <w:t xml:space="preserve">, including </w:t>
      </w:r>
      <w:r w:rsidR="00E50BEB">
        <w:rPr>
          <w:lang w:val="en-US"/>
        </w:rPr>
        <w:t>national human rights institutions and equality bodies</w:t>
      </w:r>
      <w:r w:rsidRPr="006A4FC4">
        <w:t xml:space="preserve">, </w:t>
      </w:r>
      <w:r>
        <w:t xml:space="preserve">welcome the </w:t>
      </w:r>
      <w:hyperlink r:id="rId11" w:history="1">
        <w:r w:rsidRPr="00D47CEC">
          <w:rPr>
            <w:rStyle w:val="Hyperlink"/>
          </w:rPr>
          <w:t>decisions taken by the Committee of Ministers</w:t>
        </w:r>
      </w:hyperlink>
      <w:r w:rsidR="00D47CEC">
        <w:t xml:space="preserve"> of the Council of Europe</w:t>
      </w:r>
      <w:r>
        <w:t xml:space="preserve"> that suspend</w:t>
      </w:r>
      <w:r w:rsidR="006A4FC4">
        <w:t>s</w:t>
      </w:r>
      <w:r>
        <w:t xml:space="preserve"> </w:t>
      </w:r>
      <w:r w:rsidR="00F35206">
        <w:t xml:space="preserve">the </w:t>
      </w:r>
      <w:r>
        <w:t>adoption of the draft additional protocol to the Oviedo Convention</w:t>
      </w:r>
      <w:r w:rsidR="00413B70">
        <w:t>, provid</w:t>
      </w:r>
      <w:r w:rsidR="006A4FC4">
        <w:t>es</w:t>
      </w:r>
      <w:r w:rsidR="00413B70">
        <w:t xml:space="preserve"> new instructions to the </w:t>
      </w:r>
      <w:hyperlink r:id="rId12">
        <w:r w:rsidR="00413B70" w:rsidRPr="00413B70">
          <w:rPr>
            <w:rStyle w:val="Hyperlink"/>
          </w:rPr>
          <w:t>Steering Committee for Human Rights in the fields of Biomedicine and Health</w:t>
        </w:r>
      </w:hyperlink>
      <w:r w:rsidR="00413B70">
        <w:t xml:space="preserve"> and foresee</w:t>
      </w:r>
      <w:r w:rsidR="00BB53B3">
        <w:t>s</w:t>
      </w:r>
      <w:r w:rsidR="00413B70">
        <w:t xml:space="preserve"> the participation of organi</w:t>
      </w:r>
      <w:r w:rsidR="00D47CEC">
        <w:t>s</w:t>
      </w:r>
      <w:r w:rsidR="00413B70">
        <w:t>ations of persons with disabilities and other relevant stakeholders in the further discussions to come.</w:t>
      </w:r>
    </w:p>
    <w:p w14:paraId="53DE54EA" w14:textId="19568CB1" w:rsidR="00413B70" w:rsidRDefault="00413B70" w:rsidP="00C671AF">
      <w:pPr>
        <w:spacing w:after="0"/>
        <w:jc w:val="both"/>
      </w:pPr>
    </w:p>
    <w:p w14:paraId="564F37C8" w14:textId="02C8E0A3" w:rsidR="006103AC" w:rsidRDefault="00413B70" w:rsidP="00C671AF">
      <w:pPr>
        <w:spacing w:after="0"/>
        <w:jc w:val="both"/>
      </w:pPr>
      <w:r>
        <w:t xml:space="preserve">For years, </w:t>
      </w:r>
      <w:hyperlink r:id="rId13" w:history="1">
        <w:r w:rsidRPr="008F49C2">
          <w:rPr>
            <w:rStyle w:val="Hyperlink"/>
          </w:rPr>
          <w:t>we have been advocating</w:t>
        </w:r>
        <w:r w:rsidR="006103AC" w:rsidRPr="008F49C2">
          <w:rPr>
            <w:rStyle w:val="Hyperlink"/>
          </w:rPr>
          <w:t xml:space="preserve"> in many fora</w:t>
        </w:r>
      </w:hyperlink>
      <w:r>
        <w:t xml:space="preserve"> </w:t>
      </w:r>
      <w:r w:rsidR="006103AC">
        <w:t xml:space="preserve">for the withdrawal of the </w:t>
      </w:r>
      <w:r w:rsidR="00BB53B3">
        <w:t>draft A</w:t>
      </w:r>
      <w:r w:rsidR="006103AC">
        <w:t xml:space="preserve">dditional </w:t>
      </w:r>
      <w:r w:rsidR="00BB53B3">
        <w:t>P</w:t>
      </w:r>
      <w:r w:rsidR="006103AC">
        <w:t xml:space="preserve">rotocol as </w:t>
      </w:r>
      <w:hyperlink r:id="rId14" w:history="1">
        <w:r w:rsidR="006103AC" w:rsidRPr="008F49C2">
          <w:rPr>
            <w:rStyle w:val="Hyperlink"/>
          </w:rPr>
          <w:t xml:space="preserve">it contravenes the </w:t>
        </w:r>
        <w:r w:rsidR="008F49C2" w:rsidRPr="008F49C2">
          <w:rPr>
            <w:rStyle w:val="Hyperlink"/>
          </w:rPr>
          <w:t>United Nations Convention on the Rights of Persons with Disabilities</w:t>
        </w:r>
      </w:hyperlink>
      <w:r w:rsidR="0048351C">
        <w:t xml:space="preserve"> (UN CRPD)</w:t>
      </w:r>
      <w:r w:rsidR="006103AC">
        <w:t>, including through the campaign</w:t>
      </w:r>
      <w:r>
        <w:t xml:space="preserve"> </w:t>
      </w:r>
      <w:hyperlink r:id="rId15" w:history="1">
        <w:r w:rsidRPr="0048351C">
          <w:rPr>
            <w:rStyle w:val="Hyperlink"/>
          </w:rPr>
          <w:t>#WithdrawOviedo</w:t>
        </w:r>
      </w:hyperlink>
      <w:r w:rsidR="006103AC">
        <w:t xml:space="preserve"> led by the European Disability Forum</w:t>
      </w:r>
      <w:r w:rsidR="00651BDA">
        <w:t xml:space="preserve"> (EDF)</w:t>
      </w:r>
      <w:r w:rsidR="006103AC">
        <w:t xml:space="preserve"> and Mental Health Europe</w:t>
      </w:r>
      <w:r w:rsidR="00651BDA">
        <w:t xml:space="preserve"> (MHE)</w:t>
      </w:r>
      <w:r w:rsidR="006103AC">
        <w:t xml:space="preserve">. While the recent decisions do not meet our full expectations, they </w:t>
      </w:r>
      <w:r w:rsidR="0048351C" w:rsidRPr="0048351C">
        <w:t xml:space="preserve">could provide the basis for greater efforts to align Council of Europe standards concerning persons with disabilities </w:t>
      </w:r>
      <w:r w:rsidR="0048351C">
        <w:t xml:space="preserve">to ensure no contradiction </w:t>
      </w:r>
      <w:r w:rsidR="0048351C" w:rsidRPr="0048351C">
        <w:t xml:space="preserve">with the </w:t>
      </w:r>
      <w:r w:rsidR="0048351C">
        <w:t xml:space="preserve">UN </w:t>
      </w:r>
      <w:r w:rsidR="0048351C" w:rsidRPr="0048351C">
        <w:t>CRPD.</w:t>
      </w:r>
    </w:p>
    <w:p w14:paraId="71401CEF" w14:textId="4ADC5A29" w:rsidR="00C671AF" w:rsidRDefault="00C671AF" w:rsidP="2248BBCC">
      <w:pPr>
        <w:spacing w:after="0"/>
        <w:jc w:val="both"/>
        <w:rPr>
          <w:b/>
          <w:bCs/>
        </w:rPr>
      </w:pPr>
    </w:p>
    <w:p w14:paraId="027BAB7E" w14:textId="71749044" w:rsidR="00D47CEC" w:rsidRDefault="00D47CEC" w:rsidP="2248BBCC">
      <w:pPr>
        <w:spacing w:after="0"/>
        <w:jc w:val="both"/>
        <w:rPr>
          <w:b/>
          <w:bCs/>
        </w:rPr>
      </w:pPr>
      <w:r>
        <w:rPr>
          <w:b/>
          <w:bCs/>
        </w:rPr>
        <w:t>The Decisions adopted on May 11</w:t>
      </w:r>
      <w:r w:rsidRPr="00B66206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Pr="1184E658">
        <w:rPr>
          <w:b/>
          <w:bCs/>
        </w:rPr>
        <w:t xml:space="preserve">freeze </w:t>
      </w:r>
      <w:r>
        <w:rPr>
          <w:b/>
          <w:bCs/>
        </w:rPr>
        <w:t xml:space="preserve">any adoption of the </w:t>
      </w:r>
      <w:r w:rsidRPr="1184E658">
        <w:rPr>
          <w:b/>
          <w:bCs/>
        </w:rPr>
        <w:t>draft Additional Protocol to the Oviedo Convention until the end of 2024</w:t>
      </w:r>
      <w:r>
        <w:rPr>
          <w:b/>
          <w:bCs/>
        </w:rPr>
        <w:t xml:space="preserve">. </w:t>
      </w:r>
      <w:r>
        <w:t>The Committee of Ministers also decided to:</w:t>
      </w:r>
    </w:p>
    <w:p w14:paraId="6ACEB207" w14:textId="7197F962" w:rsidR="2248BBCC" w:rsidRDefault="2248BBCC" w:rsidP="004C162E">
      <w:pPr>
        <w:spacing w:after="0"/>
        <w:jc w:val="both"/>
      </w:pPr>
    </w:p>
    <w:p w14:paraId="3E0444FD" w14:textId="08DBFBAD" w:rsidR="2248BBCC" w:rsidRDefault="1184E658" w:rsidP="004C162E">
      <w:pPr>
        <w:pStyle w:val="ListParagraph"/>
        <w:numPr>
          <w:ilvl w:val="0"/>
          <w:numId w:val="1"/>
        </w:numPr>
        <w:spacing w:after="0"/>
        <w:jc w:val="both"/>
        <w:rPr>
          <w:rFonts w:eastAsiaTheme="minorEastAsia"/>
        </w:rPr>
      </w:pPr>
      <w:r>
        <w:t xml:space="preserve">Instruct the </w:t>
      </w:r>
      <w:hyperlink r:id="rId16">
        <w:r w:rsidRPr="1184E658">
          <w:rPr>
            <w:rStyle w:val="Hyperlink"/>
          </w:rPr>
          <w:t>Steering Committee for Human Rights in the fields of Biomedicine and Health</w:t>
        </w:r>
      </w:hyperlink>
      <w:r>
        <w:t xml:space="preserve"> (CDBIO, </w:t>
      </w:r>
      <w:r w:rsidR="006A1232">
        <w:t>formerly known as</w:t>
      </w:r>
      <w:r>
        <w:t xml:space="preserve"> DHBIO) to complete by 31 December 2024 a draft recommendation promoting the use of voluntary measures in mental health care services and a report on the case law of the European Court of Human Rights relevant to mental health;</w:t>
      </w:r>
    </w:p>
    <w:p w14:paraId="53EF7DA5" w14:textId="0CEBB2EA" w:rsidR="2248BBCC" w:rsidRDefault="1184E658" w:rsidP="004C162E">
      <w:pPr>
        <w:pStyle w:val="ListParagraph"/>
        <w:numPr>
          <w:ilvl w:val="0"/>
          <w:numId w:val="1"/>
        </w:numPr>
        <w:spacing w:after="0"/>
        <w:jc w:val="both"/>
        <w:rPr>
          <w:rFonts w:eastAsiaTheme="minorEastAsia"/>
        </w:rPr>
      </w:pPr>
      <w:r>
        <w:t>Include in the participation to the CDBIO meetings</w:t>
      </w:r>
      <w:r w:rsidR="00490579">
        <w:t>,</w:t>
      </w:r>
      <w:r>
        <w:t xml:space="preserve"> the United Nations Office of the High Commissioner for Human Rights and as observers to the CDBIO meetings where the draft Additional Protocol is being discussed</w:t>
      </w:r>
      <w:r w:rsidR="00490579">
        <w:t>,</w:t>
      </w:r>
      <w:r>
        <w:t xml:space="preserve"> Rehabilitation International, the EDF and the European Association of Service Providers for Persons with Disabilities (EASPD);</w:t>
      </w:r>
    </w:p>
    <w:p w14:paraId="5D03C00C" w14:textId="0BEF3FBB" w:rsidR="2248BBCC" w:rsidRDefault="1184E658" w:rsidP="004C162E">
      <w:pPr>
        <w:pStyle w:val="ListParagraph"/>
        <w:numPr>
          <w:ilvl w:val="0"/>
          <w:numId w:val="1"/>
        </w:numPr>
        <w:spacing w:after="0"/>
        <w:jc w:val="both"/>
        <w:rPr>
          <w:rFonts w:eastAsiaTheme="minorEastAsia"/>
        </w:rPr>
      </w:pPr>
      <w:r>
        <w:t xml:space="preserve">Transmit for opinion to the </w:t>
      </w:r>
      <w:hyperlink r:id="rId17">
        <w:r w:rsidRPr="1184E658">
          <w:rPr>
            <w:rStyle w:val="Hyperlink"/>
          </w:rPr>
          <w:t>Parliamentary Assembly of the Council of Europe</w:t>
        </w:r>
      </w:hyperlink>
      <w:r>
        <w:t xml:space="preserve"> (PACE) the draft additional protocol to the Oviedo Convention, after the examination of the recommendation and report indicated above;</w:t>
      </w:r>
    </w:p>
    <w:p w14:paraId="7AB07F5D" w14:textId="1E97E0CC" w:rsidR="2248BBCC" w:rsidRDefault="1184E658" w:rsidP="004C162E">
      <w:pPr>
        <w:pStyle w:val="ListParagraph"/>
        <w:numPr>
          <w:ilvl w:val="0"/>
          <w:numId w:val="1"/>
        </w:numPr>
        <w:spacing w:after="0"/>
        <w:jc w:val="both"/>
        <w:rPr>
          <w:rFonts w:eastAsiaTheme="minorEastAsia"/>
        </w:rPr>
      </w:pPr>
      <w:r>
        <w:t xml:space="preserve">Prepare a declaration of the Committee of Ministers affirming the commitment of the Council of Europe to improving the protection and the autonomy of persons in mental health care services, </w:t>
      </w:r>
      <w:r w:rsidR="00F61FCC">
        <w:t xml:space="preserve">once </w:t>
      </w:r>
      <w:r>
        <w:t>the deliverable</w:t>
      </w:r>
      <w:r w:rsidR="00490579">
        <w:t>s</w:t>
      </w:r>
      <w:r>
        <w:t xml:space="preserve"> listed above are completed.</w:t>
      </w:r>
    </w:p>
    <w:p w14:paraId="4E865278" w14:textId="6D90A1F2" w:rsidR="2248BBCC" w:rsidRDefault="2248BBCC" w:rsidP="004C162E">
      <w:pPr>
        <w:spacing w:after="0"/>
        <w:jc w:val="both"/>
      </w:pPr>
    </w:p>
    <w:p w14:paraId="4748DD3D" w14:textId="16783349" w:rsidR="2248BBCC" w:rsidRDefault="1184E658" w:rsidP="004C162E">
      <w:pPr>
        <w:spacing w:after="0"/>
        <w:jc w:val="both"/>
      </w:pPr>
      <w:r>
        <w:lastRenderedPageBreak/>
        <w:t xml:space="preserve">Although these decisions do not </w:t>
      </w:r>
      <w:r w:rsidR="007731A1">
        <w:t>constitute an</w:t>
      </w:r>
      <w:r>
        <w:t xml:space="preserve"> </w:t>
      </w:r>
      <w:r w:rsidR="00B257C7">
        <w:t xml:space="preserve">outright </w:t>
      </w:r>
      <w:r>
        <w:t xml:space="preserve">withdrawal of the </w:t>
      </w:r>
      <w:r w:rsidR="00B257C7">
        <w:t>draft</w:t>
      </w:r>
      <w:r w:rsidR="006728F4">
        <w:t xml:space="preserve"> Additional</w:t>
      </w:r>
      <w:r w:rsidR="00B257C7">
        <w:t xml:space="preserve"> </w:t>
      </w:r>
      <w:r>
        <w:t xml:space="preserve">Protocol, they give clear instructions to </w:t>
      </w:r>
      <w:r w:rsidR="006B7B22">
        <w:t>h</w:t>
      </w:r>
      <w:r>
        <w:t xml:space="preserve">alt the </w:t>
      </w:r>
      <w:r w:rsidR="006A1232">
        <w:t xml:space="preserve">current </w:t>
      </w:r>
      <w:r>
        <w:t xml:space="preserve">process and </w:t>
      </w:r>
      <w:r w:rsidR="006B7B22">
        <w:t xml:space="preserve">to </w:t>
      </w:r>
      <w:r w:rsidR="006A1232" w:rsidRPr="006A1232">
        <w:t xml:space="preserve">work </w:t>
      </w:r>
      <w:r w:rsidR="007731A1">
        <w:t xml:space="preserve">further </w:t>
      </w:r>
      <w:r w:rsidR="00172FB0">
        <w:t xml:space="preserve">towards </w:t>
      </w:r>
      <w:r w:rsidR="006A1232" w:rsidRPr="006A1232">
        <w:t xml:space="preserve">respecting autonomy and </w:t>
      </w:r>
      <w:r w:rsidR="007F401A">
        <w:t xml:space="preserve">the </w:t>
      </w:r>
      <w:r w:rsidR="007731A1">
        <w:t xml:space="preserve">consensual </w:t>
      </w:r>
      <w:r w:rsidR="007F401A">
        <w:t xml:space="preserve">nature of </w:t>
      </w:r>
      <w:r w:rsidR="006A1232" w:rsidRPr="006A1232">
        <w:t>mental healthcare</w:t>
      </w:r>
      <w:r>
        <w:t xml:space="preserve">. We </w:t>
      </w:r>
      <w:r w:rsidR="00172FB0">
        <w:t xml:space="preserve">further </w:t>
      </w:r>
      <w:r w:rsidR="002D36C1">
        <w:t xml:space="preserve">welcome the fact that the </w:t>
      </w:r>
      <w:r w:rsidR="007731A1">
        <w:t xml:space="preserve">Committee of Ministers </w:t>
      </w:r>
      <w:r w:rsidR="002D36C1">
        <w:t>recognise</w:t>
      </w:r>
      <w:r w:rsidR="00172FB0">
        <w:t>s</w:t>
      </w:r>
      <w:r w:rsidR="002D36C1">
        <w:t xml:space="preserve"> the importance of involving </w:t>
      </w:r>
      <w:r w:rsidR="007731A1">
        <w:t xml:space="preserve">civil society organisations </w:t>
      </w:r>
      <w:r w:rsidR="002D36C1">
        <w:t>in the</w:t>
      </w:r>
      <w:r>
        <w:t xml:space="preserve"> CDBIO meetings</w:t>
      </w:r>
      <w:r w:rsidR="002D36C1">
        <w:t xml:space="preserve"> related to mental healthcare</w:t>
      </w:r>
      <w:r>
        <w:t>.</w:t>
      </w:r>
    </w:p>
    <w:p w14:paraId="2C62AF0B" w14:textId="0F90AB4F" w:rsidR="2248BBCC" w:rsidRDefault="2248BBCC" w:rsidP="004C162E">
      <w:pPr>
        <w:spacing w:after="0"/>
        <w:jc w:val="both"/>
      </w:pPr>
    </w:p>
    <w:p w14:paraId="200C1AFD" w14:textId="4F8F608F" w:rsidR="2248BBCC" w:rsidRDefault="1184E658" w:rsidP="004C162E">
      <w:pPr>
        <w:spacing w:after="0"/>
        <w:jc w:val="both"/>
      </w:pPr>
      <w:r>
        <w:t>We will continue to closely monitor the work of the CDBIO as well as other bodies of the Council of Europe to ensure</w:t>
      </w:r>
      <w:r w:rsidR="00F46A2A">
        <w:t xml:space="preserve"> that</w:t>
      </w:r>
      <w:r>
        <w:t xml:space="preserve"> human rights standards are </w:t>
      </w:r>
      <w:r w:rsidR="007731A1">
        <w:t>safeguarded</w:t>
      </w:r>
      <w:r>
        <w:t xml:space="preserve"> across Europe.</w:t>
      </w:r>
      <w:r w:rsidR="00CE48C2">
        <w:t xml:space="preserve"> We</w:t>
      </w:r>
      <w:r w:rsidR="009728A7">
        <w:t xml:space="preserve"> </w:t>
      </w:r>
      <w:r w:rsidR="00CE48C2" w:rsidRPr="006259E0">
        <w:t>will remain attentive and vigilant to the process to come, contributing constructively and trust that the final outcome will include the withdrawal of any proposal that contradicts the UN CRPD</w:t>
      </w:r>
      <w:r w:rsidR="005C3B5C">
        <w:t>.</w:t>
      </w:r>
      <w:r w:rsidR="00CE48C2">
        <w:t xml:space="preserve"> </w:t>
      </w:r>
      <w:r w:rsidR="009728A7">
        <w:t>We call on the Council of Europe to work closely with us over the coming period to ensure full alignment with the</w:t>
      </w:r>
      <w:r w:rsidR="00F46A2A">
        <w:t xml:space="preserve"> UN</w:t>
      </w:r>
      <w:r w:rsidR="009728A7">
        <w:t xml:space="preserve"> CRPD in all future processes.</w:t>
      </w:r>
    </w:p>
    <w:p w14:paraId="4A78404A" w14:textId="77777777" w:rsidR="00D92A6F" w:rsidRDefault="00D92A6F" w:rsidP="004C162E">
      <w:pPr>
        <w:spacing w:after="0"/>
        <w:jc w:val="both"/>
      </w:pPr>
    </w:p>
    <w:p w14:paraId="4C7B2CD4" w14:textId="2C738C82" w:rsidR="006965C0" w:rsidRDefault="006965C0" w:rsidP="004C162E">
      <w:pPr>
        <w:spacing w:after="0"/>
        <w:jc w:val="both"/>
      </w:pPr>
    </w:p>
    <w:p w14:paraId="67E21DF5" w14:textId="7EDC8683" w:rsidR="006965C0" w:rsidRPr="00062B27" w:rsidRDefault="006965C0" w:rsidP="00062B27">
      <w:pPr>
        <w:spacing w:after="0"/>
        <w:jc w:val="right"/>
        <w:rPr>
          <w:b/>
          <w:bCs/>
        </w:rPr>
      </w:pPr>
      <w:r w:rsidRPr="00062B27">
        <w:rPr>
          <w:b/>
          <w:bCs/>
        </w:rPr>
        <w:t>European Disability Forum (EDF)</w:t>
      </w:r>
    </w:p>
    <w:p w14:paraId="6D215E67" w14:textId="5C006488" w:rsidR="006965C0" w:rsidRPr="00062B27" w:rsidRDefault="006965C0" w:rsidP="00062B27">
      <w:pPr>
        <w:spacing w:after="0"/>
        <w:jc w:val="right"/>
        <w:rPr>
          <w:b/>
          <w:bCs/>
        </w:rPr>
      </w:pPr>
      <w:r w:rsidRPr="00062B27">
        <w:rPr>
          <w:b/>
          <w:bCs/>
        </w:rPr>
        <w:t>Mental Health Europe (MHE)</w:t>
      </w:r>
    </w:p>
    <w:p w14:paraId="161DA68D" w14:textId="5733809D" w:rsidR="00CE612E" w:rsidRPr="00062B27" w:rsidRDefault="00CE612E" w:rsidP="00062B27">
      <w:pPr>
        <w:spacing w:after="0"/>
        <w:jc w:val="right"/>
        <w:rPr>
          <w:b/>
          <w:bCs/>
        </w:rPr>
      </w:pPr>
      <w:r w:rsidRPr="00062B27">
        <w:rPr>
          <w:b/>
          <w:bCs/>
        </w:rPr>
        <w:t>European Network of Ex/Users and Survivors of Psychiatry (ENUSP)</w:t>
      </w:r>
    </w:p>
    <w:p w14:paraId="43C8128E" w14:textId="2090F169" w:rsidR="006965C0" w:rsidRPr="00062B27" w:rsidRDefault="006965C0" w:rsidP="00062B27">
      <w:pPr>
        <w:spacing w:after="0"/>
        <w:jc w:val="right"/>
        <w:rPr>
          <w:b/>
          <w:bCs/>
        </w:rPr>
      </w:pPr>
      <w:r w:rsidRPr="00062B27">
        <w:rPr>
          <w:b/>
          <w:bCs/>
        </w:rPr>
        <w:t>Autism Europe</w:t>
      </w:r>
    </w:p>
    <w:p w14:paraId="738A084E" w14:textId="301062A4" w:rsidR="006965C0" w:rsidRDefault="006965C0" w:rsidP="00062B27">
      <w:pPr>
        <w:spacing w:after="0"/>
        <w:jc w:val="right"/>
        <w:rPr>
          <w:b/>
          <w:bCs/>
        </w:rPr>
      </w:pPr>
      <w:r w:rsidRPr="00062B27">
        <w:rPr>
          <w:b/>
          <w:bCs/>
        </w:rPr>
        <w:t>Inclusion Europe</w:t>
      </w:r>
    </w:p>
    <w:p w14:paraId="7FA4FBA6" w14:textId="13EEB096" w:rsidR="007944CA" w:rsidRPr="00062B27" w:rsidRDefault="007944CA" w:rsidP="00062B27">
      <w:pPr>
        <w:spacing w:after="0"/>
        <w:jc w:val="right"/>
        <w:rPr>
          <w:b/>
          <w:bCs/>
        </w:rPr>
      </w:pPr>
      <w:r>
        <w:rPr>
          <w:b/>
          <w:bCs/>
        </w:rPr>
        <w:t>Disabled Peoples’ International (DPI)</w:t>
      </w:r>
    </w:p>
    <w:p w14:paraId="353CB979" w14:textId="578F9FB6" w:rsidR="2248BBCC" w:rsidRPr="00062B27" w:rsidRDefault="006965C0" w:rsidP="00062B27">
      <w:pPr>
        <w:spacing w:after="0"/>
        <w:jc w:val="right"/>
        <w:rPr>
          <w:b/>
          <w:bCs/>
        </w:rPr>
      </w:pPr>
      <w:r w:rsidRPr="00062B27">
        <w:rPr>
          <w:b/>
          <w:bCs/>
        </w:rPr>
        <w:t>Disabled Peoples' Organizations Denmark (DPOD)</w:t>
      </w:r>
    </w:p>
    <w:p w14:paraId="3BEEDB17" w14:textId="508B9317" w:rsidR="006965C0" w:rsidRPr="00062B27" w:rsidRDefault="006965C0" w:rsidP="00062B27">
      <w:pPr>
        <w:spacing w:after="0"/>
        <w:jc w:val="right"/>
        <w:rPr>
          <w:b/>
          <w:bCs/>
        </w:rPr>
      </w:pPr>
      <w:r w:rsidRPr="00062B27">
        <w:rPr>
          <w:b/>
          <w:bCs/>
        </w:rPr>
        <w:t>International Disability Alliance (IDA)</w:t>
      </w:r>
    </w:p>
    <w:p w14:paraId="1596B931" w14:textId="62D9D0AD" w:rsidR="006965C0" w:rsidRPr="00062B27" w:rsidRDefault="006965C0" w:rsidP="00062B27">
      <w:pPr>
        <w:spacing w:after="0"/>
        <w:jc w:val="right"/>
        <w:rPr>
          <w:b/>
          <w:bCs/>
        </w:rPr>
      </w:pPr>
      <w:r w:rsidRPr="00062B27">
        <w:rPr>
          <w:b/>
          <w:bCs/>
        </w:rPr>
        <w:t>European Association of Service Providers for Persons with Disabilities (EASPD)</w:t>
      </w:r>
    </w:p>
    <w:p w14:paraId="59276B97" w14:textId="3CD43EA0" w:rsidR="006965C0" w:rsidRPr="00062B27" w:rsidRDefault="00BB12BC" w:rsidP="00062B27">
      <w:pPr>
        <w:spacing w:after="0"/>
        <w:jc w:val="right"/>
        <w:rPr>
          <w:b/>
          <w:bCs/>
        </w:rPr>
      </w:pPr>
      <w:r w:rsidRPr="00BB12BC">
        <w:rPr>
          <w:b/>
          <w:bCs/>
        </w:rPr>
        <w:t>Society of Social Psychiatry P. Sakellaropoulos</w:t>
      </w:r>
    </w:p>
    <w:p w14:paraId="64098758" w14:textId="29EE2598" w:rsidR="006965C0" w:rsidRPr="00062B27" w:rsidRDefault="006965C0" w:rsidP="00062B27">
      <w:pPr>
        <w:spacing w:after="0"/>
        <w:jc w:val="right"/>
        <w:rPr>
          <w:b/>
          <w:bCs/>
        </w:rPr>
      </w:pPr>
      <w:r w:rsidRPr="00062B27">
        <w:rPr>
          <w:b/>
          <w:bCs/>
        </w:rPr>
        <w:t>Validity</w:t>
      </w:r>
    </w:p>
    <w:sectPr w:rsidR="006965C0" w:rsidRPr="00062B27" w:rsidSect="00F722E8">
      <w:headerReference w:type="first" r:id="rId1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3F5F" w14:textId="77777777" w:rsidR="00B50419" w:rsidRDefault="00B50419" w:rsidP="00F722E8">
      <w:pPr>
        <w:spacing w:after="0" w:line="240" w:lineRule="auto"/>
      </w:pPr>
      <w:r>
        <w:separator/>
      </w:r>
    </w:p>
  </w:endnote>
  <w:endnote w:type="continuationSeparator" w:id="0">
    <w:p w14:paraId="6C2C1A63" w14:textId="77777777" w:rsidR="00B50419" w:rsidRDefault="00B50419" w:rsidP="00F7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90888" w14:textId="77777777" w:rsidR="00B50419" w:rsidRDefault="00B50419" w:rsidP="00F722E8">
      <w:pPr>
        <w:spacing w:after="0" w:line="240" w:lineRule="auto"/>
      </w:pPr>
      <w:r>
        <w:separator/>
      </w:r>
    </w:p>
  </w:footnote>
  <w:footnote w:type="continuationSeparator" w:id="0">
    <w:p w14:paraId="03CABC68" w14:textId="77777777" w:rsidR="00B50419" w:rsidRDefault="00B50419" w:rsidP="00F7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6"/>
      <w:gridCol w:w="54"/>
      <w:gridCol w:w="2035"/>
      <w:gridCol w:w="233"/>
      <w:gridCol w:w="2126"/>
      <w:gridCol w:w="137"/>
      <w:gridCol w:w="2505"/>
    </w:tblGrid>
    <w:tr w:rsidR="00CF1753" w14:paraId="2349EF13" w14:textId="04346439" w:rsidTr="00CF1753">
      <w:tc>
        <w:tcPr>
          <w:tcW w:w="1926" w:type="dxa"/>
          <w:vAlign w:val="center"/>
        </w:tcPr>
        <w:p w14:paraId="0377AB6B" w14:textId="22C5C5B3" w:rsidR="00CF1753" w:rsidRDefault="00CF1753" w:rsidP="00F97C60">
          <w:pPr>
            <w:pStyle w:val="Header"/>
            <w:jc w:val="center"/>
          </w:pPr>
          <w:r>
            <w:rPr>
              <w:b/>
              <w:bCs/>
              <w:noProof/>
              <w:sz w:val="24"/>
              <w:szCs w:val="24"/>
            </w:rPr>
            <w:drawing>
              <wp:inline distT="0" distB="0" distL="0" distR="0" wp14:anchorId="183E22BF" wp14:editId="22C7AE23">
                <wp:extent cx="1080000" cy="355472"/>
                <wp:effectExtent l="0" t="0" r="6350" b="6985"/>
                <wp:docPr id="15" name="Picture 1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55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9" w:type="dxa"/>
          <w:gridSpan w:val="2"/>
          <w:vAlign w:val="center"/>
        </w:tcPr>
        <w:p w14:paraId="20F7E8D6" w14:textId="79FF68DE" w:rsidR="00CF1753" w:rsidRDefault="00CF1753" w:rsidP="00F97C60">
          <w:pPr>
            <w:pStyle w:val="Header"/>
            <w:jc w:val="center"/>
          </w:pPr>
          <w:r>
            <w:rPr>
              <w:b/>
              <w:bCs/>
              <w:noProof/>
              <w:sz w:val="24"/>
              <w:szCs w:val="24"/>
            </w:rPr>
            <w:drawing>
              <wp:inline distT="0" distB="0" distL="0" distR="0" wp14:anchorId="5667189D" wp14:editId="11313A50">
                <wp:extent cx="1189559" cy="594032"/>
                <wp:effectExtent l="0" t="0" r="0" b="0"/>
                <wp:docPr id="16" name="Picture 16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42" t="10436" r="9324" b="15896"/>
                        <a:stretch/>
                      </pic:blipFill>
                      <pic:spPr bwMode="auto">
                        <a:xfrm>
                          <a:off x="0" y="0"/>
                          <a:ext cx="1191366" cy="5949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6" w:type="dxa"/>
          <w:gridSpan w:val="3"/>
          <w:vAlign w:val="center"/>
        </w:tcPr>
        <w:p w14:paraId="61AC1FB9" w14:textId="1B0243EE" w:rsidR="00CF1753" w:rsidRDefault="00CF1753" w:rsidP="00F97C60">
          <w:pPr>
            <w:pStyle w:val="Header"/>
            <w:jc w:val="center"/>
          </w:pPr>
          <w:r>
            <w:rPr>
              <w:b/>
              <w:bCs/>
              <w:noProof/>
              <w:sz w:val="24"/>
              <w:szCs w:val="24"/>
            </w:rPr>
            <w:drawing>
              <wp:inline distT="0" distB="0" distL="0" distR="0" wp14:anchorId="40F4B995" wp14:editId="078064D8">
                <wp:extent cx="1440000" cy="439695"/>
                <wp:effectExtent l="0" t="0" r="8255" b="0"/>
                <wp:docPr id="17" name="Picture 17" descr="A picture containing text, clos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close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39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5" w:type="dxa"/>
          <w:vAlign w:val="center"/>
        </w:tcPr>
        <w:p w14:paraId="68F58B10" w14:textId="3260B89F" w:rsidR="00CF1753" w:rsidRDefault="00CF1753" w:rsidP="00F97C60">
          <w:pPr>
            <w:pStyle w:val="Header"/>
            <w:jc w:val="center"/>
            <w:rPr>
              <w:b/>
              <w:bCs/>
              <w:noProof/>
              <w:sz w:val="24"/>
              <w:szCs w:val="24"/>
            </w:rPr>
          </w:pPr>
          <w:r>
            <w:rPr>
              <w:b/>
              <w:bCs/>
              <w:noProof/>
              <w:sz w:val="24"/>
              <w:szCs w:val="24"/>
            </w:rPr>
            <w:drawing>
              <wp:inline distT="0" distB="0" distL="0" distR="0" wp14:anchorId="4DFDE898" wp14:editId="21DC894D">
                <wp:extent cx="1160145" cy="467161"/>
                <wp:effectExtent l="0" t="0" r="1905" b="9525"/>
                <wp:docPr id="20" name="Picture 2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44" t="19407" r="9546" b="15923"/>
                        <a:stretch/>
                      </pic:blipFill>
                      <pic:spPr bwMode="auto">
                        <a:xfrm>
                          <a:off x="0" y="0"/>
                          <a:ext cx="1162217" cy="4679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CF1753" w14:paraId="3213DFBE" w14:textId="2EE4D309" w:rsidTr="00CF1753">
      <w:tc>
        <w:tcPr>
          <w:tcW w:w="1926" w:type="dxa"/>
          <w:vAlign w:val="center"/>
        </w:tcPr>
        <w:p w14:paraId="666570D6" w14:textId="27258FBA" w:rsidR="00CF1753" w:rsidRDefault="00CF1753" w:rsidP="00F97C60">
          <w:pPr>
            <w:pStyle w:val="Header"/>
            <w:jc w:val="center"/>
          </w:pPr>
          <w:r>
            <w:rPr>
              <w:b/>
              <w:bCs/>
              <w:noProof/>
              <w:sz w:val="24"/>
              <w:szCs w:val="24"/>
            </w:rPr>
            <w:drawing>
              <wp:inline distT="0" distB="0" distL="0" distR="0" wp14:anchorId="670795B4" wp14:editId="21048A77">
                <wp:extent cx="1064767" cy="666937"/>
                <wp:effectExtent l="0" t="0" r="2540" b="0"/>
                <wp:docPr id="18" name="Picture 1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Logo&#10;&#10;Description automatically generated"/>
                        <pic:cNvPicPr/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579" t="20981" r="13321" b="13376"/>
                        <a:stretch/>
                      </pic:blipFill>
                      <pic:spPr bwMode="auto">
                        <a:xfrm>
                          <a:off x="0" y="0"/>
                          <a:ext cx="1067033" cy="668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5" w:type="dxa"/>
          <w:gridSpan w:val="5"/>
          <w:vAlign w:val="center"/>
        </w:tcPr>
        <w:p w14:paraId="7F4C6D8E" w14:textId="458457EA" w:rsidR="00CF1753" w:rsidRDefault="00CF1753" w:rsidP="00C17308">
          <w:pPr>
            <w:pStyle w:val="Header"/>
            <w:jc w:val="center"/>
          </w:pPr>
          <w:r>
            <w:rPr>
              <w:b/>
              <w:bCs/>
              <w:noProof/>
              <w:sz w:val="24"/>
              <w:szCs w:val="24"/>
            </w:rPr>
            <w:drawing>
              <wp:inline distT="0" distB="0" distL="0" distR="0" wp14:anchorId="15AA6AA5" wp14:editId="45C9E766">
                <wp:extent cx="1800000" cy="603058"/>
                <wp:effectExtent l="0" t="0" r="0" b="6985"/>
                <wp:docPr id="19" name="Picture 19" descr="A picture containing text, business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businesscard&#10;&#10;Description automatically generated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603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5" w:type="dxa"/>
          <w:vAlign w:val="center"/>
        </w:tcPr>
        <w:p w14:paraId="1B80BB2A" w14:textId="49BD3EA9" w:rsidR="00CF1753" w:rsidRDefault="00CF1753" w:rsidP="00C17308">
          <w:pPr>
            <w:pStyle w:val="Header"/>
            <w:jc w:val="center"/>
            <w:rPr>
              <w:b/>
              <w:bCs/>
              <w:noProof/>
              <w:sz w:val="24"/>
              <w:szCs w:val="24"/>
            </w:rPr>
          </w:pPr>
          <w:r>
            <w:rPr>
              <w:b/>
              <w:bCs/>
              <w:noProof/>
              <w:sz w:val="24"/>
              <w:szCs w:val="24"/>
            </w:rPr>
            <w:drawing>
              <wp:inline distT="0" distB="0" distL="0" distR="0" wp14:anchorId="10B56C3B" wp14:editId="1B05CCD5">
                <wp:extent cx="1440000" cy="453715"/>
                <wp:effectExtent l="0" t="0" r="8255" b="3810"/>
                <wp:docPr id="22" name="Picture 22" descr="A picture containing text, gauge, devi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picture containing text, gauge, device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53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F1753" w14:paraId="16C0A2BA" w14:textId="34990B42" w:rsidTr="00CF1753">
      <w:tc>
        <w:tcPr>
          <w:tcW w:w="1980" w:type="dxa"/>
          <w:gridSpan w:val="2"/>
          <w:vAlign w:val="center"/>
        </w:tcPr>
        <w:p w14:paraId="7FDAC5A9" w14:textId="3E8BCDD4" w:rsidR="00CF1753" w:rsidRDefault="00CF1753" w:rsidP="00CF1753">
          <w:pPr>
            <w:pStyle w:val="Header"/>
          </w:pPr>
          <w:r>
            <w:rPr>
              <w:noProof/>
            </w:rPr>
            <w:drawing>
              <wp:inline distT="0" distB="0" distL="0" distR="0" wp14:anchorId="61AA2130" wp14:editId="56C8135D">
                <wp:extent cx="723683" cy="802399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490" cy="816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gridSpan w:val="2"/>
          <w:vAlign w:val="center"/>
        </w:tcPr>
        <w:p w14:paraId="78B9B1A6" w14:textId="0A3CED42" w:rsidR="00CF1753" w:rsidRDefault="00CF1753" w:rsidP="00CF1753">
          <w:pPr>
            <w:pStyle w:val="Header"/>
          </w:pPr>
          <w:r>
            <w:rPr>
              <w:noProof/>
            </w:rPr>
            <w:drawing>
              <wp:inline distT="0" distB="0" distL="0" distR="0" wp14:anchorId="223E0C29" wp14:editId="41653438">
                <wp:extent cx="828000" cy="794063"/>
                <wp:effectExtent l="0" t="0" r="0" b="6350"/>
                <wp:docPr id="23" name="Picture 2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Logo&#10;&#10;Description automatically generated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00" cy="7940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56CF3D4" w14:textId="032B79EE" w:rsidR="00CF1753" w:rsidRDefault="00CF1753" w:rsidP="00CF1753">
          <w:pPr>
            <w:pStyle w:val="Header"/>
          </w:pPr>
          <w:r>
            <w:rPr>
              <w:noProof/>
            </w:rPr>
            <w:drawing>
              <wp:inline distT="0" distB="0" distL="0" distR="0" wp14:anchorId="35F1587B" wp14:editId="06DC494C">
                <wp:extent cx="756285" cy="756285"/>
                <wp:effectExtent l="0" t="0" r="5715" b="571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285" cy="756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2" w:type="dxa"/>
          <w:gridSpan w:val="2"/>
        </w:tcPr>
        <w:p w14:paraId="6E51A403" w14:textId="1AEC49ED" w:rsidR="00CF1753" w:rsidRDefault="00CF1753" w:rsidP="00CF1753">
          <w:pPr>
            <w:pStyle w:val="Header"/>
          </w:pPr>
          <w:r>
            <w:rPr>
              <w:noProof/>
            </w:rPr>
            <w:drawing>
              <wp:inline distT="0" distB="0" distL="0" distR="0" wp14:anchorId="75DCD586" wp14:editId="33F85A02">
                <wp:extent cx="921395" cy="915292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266" cy="925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725F1C" w14:textId="5814480E" w:rsidR="00416D3B" w:rsidRDefault="000F558A" w:rsidP="00416D3B">
    <w:pPr>
      <w:pStyle w:val="Header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046"/>
    <w:multiLevelType w:val="hybridMultilevel"/>
    <w:tmpl w:val="463E4AC4"/>
    <w:lvl w:ilvl="0" w:tplc="BA9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6F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E9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AE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AF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27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40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CF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D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86E58"/>
    <w:multiLevelType w:val="hybridMultilevel"/>
    <w:tmpl w:val="EC9EE9F4"/>
    <w:lvl w:ilvl="0" w:tplc="BB2C1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4A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8CE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E5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06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26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A4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B2E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420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28375">
    <w:abstractNumId w:val="0"/>
  </w:num>
  <w:num w:numId="2" w16cid:durableId="128727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7F0652"/>
    <w:rsid w:val="000059F5"/>
    <w:rsid w:val="00040ECF"/>
    <w:rsid w:val="00062B27"/>
    <w:rsid w:val="00063C03"/>
    <w:rsid w:val="000D0E05"/>
    <w:rsid w:val="000F4AB6"/>
    <w:rsid w:val="000F558A"/>
    <w:rsid w:val="00172FB0"/>
    <w:rsid w:val="001B2621"/>
    <w:rsid w:val="002834B9"/>
    <w:rsid w:val="002D36C1"/>
    <w:rsid w:val="002F4C5B"/>
    <w:rsid w:val="002F5E0D"/>
    <w:rsid w:val="003155B4"/>
    <w:rsid w:val="0036489F"/>
    <w:rsid w:val="003939F5"/>
    <w:rsid w:val="00413B70"/>
    <w:rsid w:val="00416D3B"/>
    <w:rsid w:val="004435DD"/>
    <w:rsid w:val="0048351C"/>
    <w:rsid w:val="00490579"/>
    <w:rsid w:val="00493E5B"/>
    <w:rsid w:val="004C162E"/>
    <w:rsid w:val="0057271B"/>
    <w:rsid w:val="00597020"/>
    <w:rsid w:val="005C3B5C"/>
    <w:rsid w:val="005D0849"/>
    <w:rsid w:val="006103AC"/>
    <w:rsid w:val="006259E0"/>
    <w:rsid w:val="00651BDA"/>
    <w:rsid w:val="006728F4"/>
    <w:rsid w:val="006965C0"/>
    <w:rsid w:val="00696C2E"/>
    <w:rsid w:val="006A1232"/>
    <w:rsid w:val="006A4FC4"/>
    <w:rsid w:val="006B7B22"/>
    <w:rsid w:val="00707569"/>
    <w:rsid w:val="0073209C"/>
    <w:rsid w:val="007731A1"/>
    <w:rsid w:val="00785971"/>
    <w:rsid w:val="007944CA"/>
    <w:rsid w:val="007E1F93"/>
    <w:rsid w:val="007F401A"/>
    <w:rsid w:val="0080261F"/>
    <w:rsid w:val="00884A4B"/>
    <w:rsid w:val="008F49C2"/>
    <w:rsid w:val="009146E2"/>
    <w:rsid w:val="009277C3"/>
    <w:rsid w:val="009728A7"/>
    <w:rsid w:val="00984006"/>
    <w:rsid w:val="00991D1B"/>
    <w:rsid w:val="00991E58"/>
    <w:rsid w:val="00A257DD"/>
    <w:rsid w:val="00A72CCD"/>
    <w:rsid w:val="00AB1ECC"/>
    <w:rsid w:val="00AE4EC0"/>
    <w:rsid w:val="00AF2B3E"/>
    <w:rsid w:val="00B257C7"/>
    <w:rsid w:val="00B50419"/>
    <w:rsid w:val="00B66206"/>
    <w:rsid w:val="00BB12BC"/>
    <w:rsid w:val="00BB53B3"/>
    <w:rsid w:val="00C17308"/>
    <w:rsid w:val="00C671AF"/>
    <w:rsid w:val="00CE48C2"/>
    <w:rsid w:val="00CE612E"/>
    <w:rsid w:val="00CF1753"/>
    <w:rsid w:val="00D26FCC"/>
    <w:rsid w:val="00D31853"/>
    <w:rsid w:val="00D47CEC"/>
    <w:rsid w:val="00D755E9"/>
    <w:rsid w:val="00D92A6F"/>
    <w:rsid w:val="00DB3475"/>
    <w:rsid w:val="00DD5EC0"/>
    <w:rsid w:val="00E31339"/>
    <w:rsid w:val="00E50BEB"/>
    <w:rsid w:val="00F24D79"/>
    <w:rsid w:val="00F35206"/>
    <w:rsid w:val="00F46A2A"/>
    <w:rsid w:val="00F61FCC"/>
    <w:rsid w:val="00F722E8"/>
    <w:rsid w:val="00F97C60"/>
    <w:rsid w:val="00FB79EE"/>
    <w:rsid w:val="00FF3B27"/>
    <w:rsid w:val="1184E658"/>
    <w:rsid w:val="2248BBCC"/>
    <w:rsid w:val="5B7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F0652"/>
  <w15:chartTrackingRefBased/>
  <w15:docId w15:val="{101ADAAD-B2D2-481B-8CC3-EB97DB56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0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06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A123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A123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7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71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71A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A4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7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2E8"/>
  </w:style>
  <w:style w:type="paragraph" w:styleId="Footer">
    <w:name w:val="footer"/>
    <w:basedOn w:val="Normal"/>
    <w:link w:val="FooterChar"/>
    <w:uiPriority w:val="99"/>
    <w:unhideWhenUsed/>
    <w:rsid w:val="00F7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2E8"/>
  </w:style>
  <w:style w:type="table" w:styleId="TableGrid">
    <w:name w:val="Table Grid"/>
    <w:basedOn w:val="TableNormal"/>
    <w:uiPriority w:val="39"/>
    <w:rsid w:val="0041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f-feph.org/newsroom-news-compilation-statements-opposing-draft-protocol-oviedo-convention-council-europe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e.int/en/web/bioethics/cdbio" TargetMode="External"/><Relationship Id="rId17" Type="http://schemas.openxmlformats.org/officeDocument/2006/relationships/hyperlink" Target="https://www.coe.int/en/web/no-hate-campaign/parliamentary-assembly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e.int/en/web/bioethics/cdbi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arch.coe.int/cm/Pages/result_details.aspx?ObjectID=0900001680a675e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ithdrawoviedo.info/joi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cusercontent.com/b7677abe7e07f34e813c15eef/files/cb276286-8e10-a8ce-c683-6648db46f400/Overview_of_issues_with_Oviedo_Draft_Protocol_in_light_of_CRPD.pdf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450160B9BE944BBF242D6809D825D" ma:contentTypeVersion="13" ma:contentTypeDescription="Create a new document." ma:contentTypeScope="" ma:versionID="098a493ab050bcdc6eeb472fd46c7fa0">
  <xsd:schema xmlns:xsd="http://www.w3.org/2001/XMLSchema" xmlns:xs="http://www.w3.org/2001/XMLSchema" xmlns:p="http://schemas.microsoft.com/office/2006/metadata/properties" xmlns:ns2="b8f99c06-dc64-4ad0-a4b1-77603161b6e0" xmlns:ns3="ab96a043-8ff1-4762-add4-7613ae9839fa" targetNamespace="http://schemas.microsoft.com/office/2006/metadata/properties" ma:root="true" ma:fieldsID="c5852a3bb0a1c56ca89d60c85317c85b" ns2:_="" ns3:_="">
    <xsd:import namespace="b8f99c06-dc64-4ad0-a4b1-77603161b6e0"/>
    <xsd:import namespace="ab96a043-8ff1-4762-add4-7613ae9839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99c06-dc64-4ad0-a4b1-77603161b6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6a043-8ff1-4762-add4-7613ae983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AFE42-CDD5-4CB3-8CEF-760FFD51C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99c06-dc64-4ad0-a4b1-77603161b6e0"/>
    <ds:schemaRef ds:uri="ab96a043-8ff1-4762-add4-7613ae983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D89F0-2EDE-4696-AFA4-9D8BA07585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4C645-44ED-458B-B3FB-73BE26369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325945-4A2F-409C-961A-5375803C38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714</Words>
  <Characters>3927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Marchetti</dc:creator>
  <cp:keywords/>
  <dc:description/>
  <cp:lastModifiedBy>Marine Uldry</cp:lastModifiedBy>
  <cp:revision>9</cp:revision>
  <dcterms:created xsi:type="dcterms:W3CDTF">2022-06-07T13:40:00Z</dcterms:created>
  <dcterms:modified xsi:type="dcterms:W3CDTF">2022-06-07T14:28:00Z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0x010100573450160B9BE944BBF242D6809D825D</vt:lpwstr>
  </property>
</Properties>
</file>