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46E5" w:rsidRDefault="00F65B9D">
      <w:pPr>
        <w:tabs>
          <w:tab w:val="center" w:pos="4680"/>
          <w:tab w:val="right" w:pos="9360"/>
        </w:tabs>
        <w:rPr>
          <w:color w:val="000000"/>
          <w:sz w:val="22"/>
          <w:szCs w:val="22"/>
        </w:rPr>
      </w:pPr>
      <w:r>
        <w:rPr>
          <w:noProof/>
          <w:sz w:val="22"/>
          <w:szCs w:val="22"/>
        </w:rPr>
        <w:drawing>
          <wp:anchor distT="0" distB="0" distL="114300" distR="114300" simplePos="0" relativeHeight="251658240" behindDoc="0" locked="0" layoutInCell="1" hidden="0" allowOverlap="1">
            <wp:simplePos x="0" y="0"/>
            <wp:positionH relativeFrom="page">
              <wp:posOffset>3186113</wp:posOffset>
            </wp:positionH>
            <wp:positionV relativeFrom="page">
              <wp:posOffset>791709</wp:posOffset>
            </wp:positionV>
            <wp:extent cx="704850" cy="360816"/>
            <wp:effectExtent l="0" t="0" r="0" b="0"/>
            <wp:wrapNone/>
            <wp:docPr id="1035"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10;&#10;Description automatically generated"/>
                    <pic:cNvPicPr preferRelativeResize="0"/>
                  </pic:nvPicPr>
                  <pic:blipFill>
                    <a:blip r:embed="rId8"/>
                    <a:srcRect/>
                    <a:stretch>
                      <a:fillRect/>
                    </a:stretch>
                  </pic:blipFill>
                  <pic:spPr>
                    <a:xfrm>
                      <a:off x="0" y="0"/>
                      <a:ext cx="704850" cy="360816"/>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1517780</wp:posOffset>
            </wp:positionH>
            <wp:positionV relativeFrom="paragraph">
              <wp:posOffset>-628260</wp:posOffset>
            </wp:positionV>
            <wp:extent cx="1013571" cy="244389"/>
            <wp:effectExtent l="0" t="0" r="0" b="0"/>
            <wp:wrapNone/>
            <wp:docPr id="104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9"/>
                    <a:srcRect/>
                    <a:stretch>
                      <a:fillRect/>
                    </a:stretch>
                  </pic:blipFill>
                  <pic:spPr>
                    <a:xfrm>
                      <a:off x="0" y="0"/>
                      <a:ext cx="1013571" cy="244389"/>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3205662</wp:posOffset>
            </wp:positionH>
            <wp:positionV relativeFrom="paragraph">
              <wp:posOffset>-655319</wp:posOffset>
            </wp:positionV>
            <wp:extent cx="925452" cy="298580"/>
            <wp:effectExtent l="0" t="0" r="0" b="0"/>
            <wp:wrapNone/>
            <wp:docPr id="104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close up of a sign&#10;&#10;Description automatically generated"/>
                    <pic:cNvPicPr preferRelativeResize="0"/>
                  </pic:nvPicPr>
                  <pic:blipFill>
                    <a:blip r:embed="rId10"/>
                    <a:srcRect/>
                    <a:stretch>
                      <a:fillRect/>
                    </a:stretch>
                  </pic:blipFill>
                  <pic:spPr>
                    <a:xfrm>
                      <a:off x="0" y="0"/>
                      <a:ext cx="925452" cy="29858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-74294</wp:posOffset>
            </wp:positionH>
            <wp:positionV relativeFrom="paragraph">
              <wp:posOffset>-247752</wp:posOffset>
            </wp:positionV>
            <wp:extent cx="597159" cy="616140"/>
            <wp:effectExtent l="0" t="0" r="0" b="0"/>
            <wp:wrapNone/>
            <wp:docPr id="1041" name="image6.jpg" descr="A close up of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A close up of a person&#10;&#10;Description automatically generated"/>
                    <pic:cNvPicPr preferRelativeResize="0"/>
                  </pic:nvPicPr>
                  <pic:blipFill>
                    <a:blip r:embed="rId11"/>
                    <a:srcRect/>
                    <a:stretch>
                      <a:fillRect/>
                    </a:stretch>
                  </pic:blipFill>
                  <pic:spPr>
                    <a:xfrm>
                      <a:off x="0" y="0"/>
                      <a:ext cx="597159" cy="61614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1156348</wp:posOffset>
            </wp:positionH>
            <wp:positionV relativeFrom="paragraph">
              <wp:posOffset>-203677</wp:posOffset>
            </wp:positionV>
            <wp:extent cx="428633" cy="472751"/>
            <wp:effectExtent l="0" t="0" r="0" b="0"/>
            <wp:wrapNone/>
            <wp:docPr id="1040" name="image1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jpg" descr="A close up of a logo&#10;&#10;Description automatically generated"/>
                    <pic:cNvPicPr preferRelativeResize="0"/>
                  </pic:nvPicPr>
                  <pic:blipFill>
                    <a:blip r:embed="rId12"/>
                    <a:srcRect/>
                    <a:stretch>
                      <a:fillRect/>
                    </a:stretch>
                  </pic:blipFill>
                  <pic:spPr>
                    <a:xfrm>
                      <a:off x="0" y="0"/>
                      <a:ext cx="428633" cy="472751"/>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3469005</wp:posOffset>
            </wp:positionH>
            <wp:positionV relativeFrom="paragraph">
              <wp:posOffset>-236219</wp:posOffset>
            </wp:positionV>
            <wp:extent cx="708025" cy="605790"/>
            <wp:effectExtent l="0" t="0" r="0" b="0"/>
            <wp:wrapNone/>
            <wp:docPr id="1039" name="image2.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iagram&#10;&#10;Description automatically generated"/>
                    <pic:cNvPicPr preferRelativeResize="0"/>
                  </pic:nvPicPr>
                  <pic:blipFill>
                    <a:blip r:embed="rId13"/>
                    <a:srcRect/>
                    <a:stretch>
                      <a:fillRect/>
                    </a:stretch>
                  </pic:blipFill>
                  <pic:spPr>
                    <a:xfrm>
                      <a:off x="0" y="0"/>
                      <a:ext cx="708025" cy="605790"/>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4708797</wp:posOffset>
            </wp:positionH>
            <wp:positionV relativeFrom="paragraph">
              <wp:posOffset>-653401</wp:posOffset>
            </wp:positionV>
            <wp:extent cx="1069910" cy="281166"/>
            <wp:effectExtent l="0" t="0" r="0" b="0"/>
            <wp:wrapNone/>
            <wp:docPr id="1038" name="image8.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Text&#10;&#10;Description automatically generated"/>
                    <pic:cNvPicPr preferRelativeResize="0"/>
                  </pic:nvPicPr>
                  <pic:blipFill>
                    <a:blip r:embed="rId14"/>
                    <a:srcRect/>
                    <a:stretch>
                      <a:fillRect/>
                    </a:stretch>
                  </pic:blipFill>
                  <pic:spPr>
                    <a:xfrm>
                      <a:off x="0" y="0"/>
                      <a:ext cx="1069910" cy="281166"/>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4751070</wp:posOffset>
            </wp:positionH>
            <wp:positionV relativeFrom="paragraph">
              <wp:posOffset>-233679</wp:posOffset>
            </wp:positionV>
            <wp:extent cx="974090" cy="527050"/>
            <wp:effectExtent l="0" t="0" r="0" b="0"/>
            <wp:wrapNone/>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974090" cy="527050"/>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31103</wp:posOffset>
            </wp:positionH>
            <wp:positionV relativeFrom="paragraph">
              <wp:posOffset>-628260</wp:posOffset>
            </wp:positionV>
            <wp:extent cx="797366" cy="275400"/>
            <wp:effectExtent l="0" t="0" r="0" b="0"/>
            <wp:wrapNone/>
            <wp:docPr id="1044" name="image10.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jpg" descr="A picture containing text&#10;&#10;Description automatically generated"/>
                    <pic:cNvPicPr preferRelativeResize="0"/>
                  </pic:nvPicPr>
                  <pic:blipFill>
                    <a:blip r:embed="rId16"/>
                    <a:srcRect/>
                    <a:stretch>
                      <a:fillRect/>
                    </a:stretch>
                  </pic:blipFill>
                  <pic:spPr>
                    <a:xfrm>
                      <a:off x="0" y="0"/>
                      <a:ext cx="797366" cy="275400"/>
                    </a:xfrm>
                    <a:prstGeom prst="rect">
                      <a:avLst/>
                    </a:prstGeom>
                    <a:ln/>
                  </pic:spPr>
                </pic:pic>
              </a:graphicData>
            </a:graphic>
          </wp:anchor>
        </w:drawing>
      </w:r>
    </w:p>
    <w:p w14:paraId="00000002" w14:textId="77777777" w:rsidR="001A46E5" w:rsidRDefault="001A46E5">
      <w:pPr>
        <w:pBdr>
          <w:top w:val="nil"/>
          <w:left w:val="nil"/>
          <w:bottom w:val="nil"/>
          <w:right w:val="nil"/>
          <w:between w:val="nil"/>
        </w:pBdr>
        <w:tabs>
          <w:tab w:val="center" w:pos="4680"/>
          <w:tab w:val="right" w:pos="9360"/>
        </w:tabs>
        <w:rPr>
          <w:color w:val="000000"/>
          <w:sz w:val="22"/>
          <w:szCs w:val="22"/>
        </w:rPr>
      </w:pPr>
    </w:p>
    <w:p w14:paraId="00000003" w14:textId="77777777" w:rsidR="001A46E5" w:rsidRDefault="00F65B9D">
      <w:pPr>
        <w:pBdr>
          <w:top w:val="nil"/>
          <w:left w:val="nil"/>
          <w:bottom w:val="nil"/>
          <w:right w:val="nil"/>
          <w:between w:val="nil"/>
        </w:pBdr>
        <w:tabs>
          <w:tab w:val="center" w:pos="4680"/>
          <w:tab w:val="right" w:pos="9360"/>
        </w:tabs>
        <w:rPr>
          <w:color w:val="000000"/>
          <w:sz w:val="22"/>
          <w:szCs w:val="22"/>
        </w:rPr>
      </w:pPr>
      <w:r>
        <w:rPr>
          <w:noProof/>
        </w:rPr>
        <w:drawing>
          <wp:anchor distT="114300" distB="114300" distL="114300" distR="114300" simplePos="0" relativeHeight="251667456" behindDoc="0" locked="0" layoutInCell="1" hidden="0" allowOverlap="1">
            <wp:simplePos x="0" y="0"/>
            <wp:positionH relativeFrom="column">
              <wp:posOffset>1376363</wp:posOffset>
            </wp:positionH>
            <wp:positionV relativeFrom="paragraph">
              <wp:posOffset>116136</wp:posOffset>
            </wp:positionV>
            <wp:extent cx="1595438" cy="479928"/>
            <wp:effectExtent l="0" t="0" r="0" b="0"/>
            <wp:wrapNone/>
            <wp:docPr id="10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595438" cy="479928"/>
                    </a:xfrm>
                    <a:prstGeom prst="rect">
                      <a:avLst/>
                    </a:prstGeom>
                    <a:ln/>
                  </pic:spPr>
                </pic:pic>
              </a:graphicData>
            </a:graphic>
          </wp:anchor>
        </w:drawing>
      </w:r>
      <w:r>
        <w:rPr>
          <w:noProof/>
        </w:rPr>
        <w:drawing>
          <wp:anchor distT="0" distB="0" distL="114300" distR="114300" simplePos="0" relativeHeight="251668480" behindDoc="0" locked="0" layoutInCell="1" hidden="0" allowOverlap="1">
            <wp:simplePos x="0" y="0"/>
            <wp:positionH relativeFrom="column">
              <wp:posOffset>3328988</wp:posOffset>
            </wp:positionH>
            <wp:positionV relativeFrom="paragraph">
              <wp:posOffset>154236</wp:posOffset>
            </wp:positionV>
            <wp:extent cx="681990" cy="385445"/>
            <wp:effectExtent l="0" t="0" r="0" b="0"/>
            <wp:wrapNone/>
            <wp:docPr id="1043" name="image7.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icture containing text, sign&#10;&#10;Description automatically generated"/>
                    <pic:cNvPicPr preferRelativeResize="0"/>
                  </pic:nvPicPr>
                  <pic:blipFill>
                    <a:blip r:embed="rId18"/>
                    <a:srcRect/>
                    <a:stretch>
                      <a:fillRect/>
                    </a:stretch>
                  </pic:blipFill>
                  <pic:spPr>
                    <a:xfrm>
                      <a:off x="0" y="0"/>
                      <a:ext cx="681990" cy="385445"/>
                    </a:xfrm>
                    <a:prstGeom prst="rect">
                      <a:avLst/>
                    </a:prstGeom>
                    <a:ln/>
                  </pic:spPr>
                </pic:pic>
              </a:graphicData>
            </a:graphic>
          </wp:anchor>
        </w:drawing>
      </w:r>
    </w:p>
    <w:p w14:paraId="00000004" w14:textId="77777777" w:rsidR="001A46E5" w:rsidRDefault="001A46E5">
      <w:pPr>
        <w:pBdr>
          <w:top w:val="nil"/>
          <w:left w:val="nil"/>
          <w:bottom w:val="nil"/>
          <w:right w:val="nil"/>
          <w:between w:val="nil"/>
        </w:pBdr>
        <w:tabs>
          <w:tab w:val="center" w:pos="4680"/>
          <w:tab w:val="right" w:pos="9360"/>
        </w:tabs>
        <w:rPr>
          <w:color w:val="000000"/>
          <w:sz w:val="22"/>
          <w:szCs w:val="22"/>
        </w:rPr>
      </w:pPr>
    </w:p>
    <w:p w14:paraId="00000005" w14:textId="77777777" w:rsidR="001A46E5" w:rsidRDefault="001A46E5">
      <w:pPr>
        <w:pBdr>
          <w:top w:val="nil"/>
          <w:left w:val="nil"/>
          <w:bottom w:val="nil"/>
          <w:right w:val="nil"/>
          <w:between w:val="nil"/>
        </w:pBdr>
        <w:tabs>
          <w:tab w:val="center" w:pos="4680"/>
          <w:tab w:val="right" w:pos="9360"/>
        </w:tabs>
        <w:jc w:val="right"/>
        <w:rPr>
          <w:color w:val="000000"/>
          <w:sz w:val="22"/>
          <w:szCs w:val="22"/>
        </w:rPr>
      </w:pPr>
    </w:p>
    <w:p w14:paraId="00000006" w14:textId="77777777" w:rsidR="001A46E5" w:rsidRDefault="00F65B9D">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ab/>
      </w:r>
      <w:r>
        <w:rPr>
          <w:color w:val="000000"/>
          <w:sz w:val="22"/>
          <w:szCs w:val="22"/>
        </w:rPr>
        <w:tab/>
        <w:t>July 21</w:t>
      </w:r>
      <w:r>
        <w:rPr>
          <w:color w:val="000000"/>
          <w:sz w:val="22"/>
          <w:szCs w:val="22"/>
          <w:vertAlign w:val="superscript"/>
        </w:rPr>
        <w:t>st</w:t>
      </w:r>
      <w:r>
        <w:rPr>
          <w:color w:val="000000"/>
          <w:sz w:val="22"/>
          <w:szCs w:val="22"/>
        </w:rPr>
        <w:t>, 2021</w:t>
      </w:r>
    </w:p>
    <w:p w14:paraId="00000007" w14:textId="77777777" w:rsidR="001A46E5" w:rsidRDefault="001A46E5">
      <w:pPr>
        <w:jc w:val="center"/>
        <w:rPr>
          <w:b/>
          <w:color w:val="000000"/>
          <w:sz w:val="22"/>
          <w:szCs w:val="22"/>
        </w:rPr>
      </w:pPr>
    </w:p>
    <w:p w14:paraId="00000008" w14:textId="77777777" w:rsidR="001A46E5" w:rsidRDefault="001A46E5">
      <w:pPr>
        <w:jc w:val="center"/>
        <w:rPr>
          <w:b/>
          <w:color w:val="000000"/>
          <w:sz w:val="22"/>
          <w:szCs w:val="22"/>
        </w:rPr>
      </w:pPr>
    </w:p>
    <w:p w14:paraId="00000009" w14:textId="77777777" w:rsidR="001A46E5" w:rsidRDefault="00F65B9D">
      <w:pPr>
        <w:jc w:val="center"/>
        <w:rPr>
          <w:b/>
        </w:rPr>
      </w:pPr>
      <w:r>
        <w:rPr>
          <w:b/>
          <w:color w:val="000000"/>
        </w:rPr>
        <w:t xml:space="preserve">Call </w:t>
      </w:r>
      <w:r>
        <w:rPr>
          <w:b/>
        </w:rPr>
        <w:t>to</w:t>
      </w:r>
      <w:r>
        <w:rPr>
          <w:b/>
          <w:color w:val="000000"/>
        </w:rPr>
        <w:t xml:space="preserve"> action:</w:t>
      </w:r>
    </w:p>
    <w:p w14:paraId="0000000A" w14:textId="77777777" w:rsidR="001A46E5" w:rsidRDefault="00F65B9D">
      <w:pPr>
        <w:jc w:val="center"/>
        <w:rPr>
          <w:b/>
        </w:rPr>
      </w:pPr>
      <w:r>
        <w:rPr>
          <w:b/>
        </w:rPr>
        <w:t>Protect the right to family life &amp; prevent institutionalization</w:t>
      </w:r>
    </w:p>
    <w:p w14:paraId="0000000B" w14:textId="77777777" w:rsidR="001A46E5" w:rsidRDefault="00F65B9D">
      <w:pPr>
        <w:jc w:val="center"/>
        <w:rPr>
          <w:b/>
        </w:rPr>
      </w:pPr>
      <w:r>
        <w:rPr>
          <w:b/>
        </w:rPr>
        <w:t>for all children</w:t>
      </w:r>
    </w:p>
    <w:p w14:paraId="0000000C" w14:textId="77777777" w:rsidR="001A46E5" w:rsidRDefault="001A46E5">
      <w:pPr>
        <w:rPr>
          <w:sz w:val="22"/>
          <w:szCs w:val="22"/>
        </w:rPr>
      </w:pPr>
    </w:p>
    <w:p w14:paraId="0000000D" w14:textId="77777777" w:rsidR="001A46E5" w:rsidRDefault="001A46E5">
      <w:pPr>
        <w:rPr>
          <w:sz w:val="22"/>
          <w:szCs w:val="22"/>
        </w:rPr>
      </w:pPr>
    </w:p>
    <w:p w14:paraId="0000000E" w14:textId="77777777" w:rsidR="001A46E5" w:rsidRDefault="00F65B9D">
      <w:pPr>
        <w:spacing w:after="160" w:line="256" w:lineRule="auto"/>
        <w:jc w:val="both"/>
        <w:rPr>
          <w:sz w:val="22"/>
          <w:szCs w:val="22"/>
        </w:rPr>
      </w:pPr>
      <w:r>
        <w:rPr>
          <w:sz w:val="22"/>
          <w:szCs w:val="22"/>
        </w:rPr>
        <w:t>The signatories to this call to action acknowledge the leadership of the United Nations Committee on the Rights of the Child and of the United Nations Committee on the Rights of Persons with Disabilities in their efforts to harmonize international human ri</w:t>
      </w:r>
      <w:r>
        <w:rPr>
          <w:sz w:val="22"/>
          <w:szCs w:val="22"/>
        </w:rPr>
        <w:t>ghts standards concerning children deprived of parental care.</w:t>
      </w:r>
    </w:p>
    <w:p w14:paraId="0000000F" w14:textId="77777777" w:rsidR="001A46E5" w:rsidRDefault="00F65B9D">
      <w:pPr>
        <w:spacing w:after="160" w:line="256" w:lineRule="auto"/>
        <w:jc w:val="both"/>
        <w:rPr>
          <w:sz w:val="22"/>
          <w:szCs w:val="22"/>
        </w:rPr>
      </w:pPr>
      <w:r>
        <w:rPr>
          <w:sz w:val="22"/>
          <w:szCs w:val="22"/>
        </w:rPr>
        <w:t>This call to action seeks to contribute to a range of efforts worldwide to promote consistent interpretation and enforcement of international human rights law in respect of children with disabilities, including the activities of the committees mentioned an</w:t>
      </w:r>
      <w:r>
        <w:rPr>
          <w:sz w:val="22"/>
          <w:szCs w:val="22"/>
        </w:rPr>
        <w:t xml:space="preserve">d other stakeholders and in particular the preparations for a Day of General Discussion on Children’s Rights and Alternative Care scheduled to take place in September 2021 under the auspices of the Committee on the Rights the Child. </w:t>
      </w:r>
    </w:p>
    <w:p w14:paraId="00000010" w14:textId="77777777" w:rsidR="001A46E5" w:rsidRDefault="001A46E5">
      <w:pPr>
        <w:spacing w:line="276" w:lineRule="auto"/>
        <w:rPr>
          <w:b/>
          <w:sz w:val="22"/>
          <w:szCs w:val="22"/>
        </w:rPr>
      </w:pPr>
    </w:p>
    <w:p w14:paraId="00000011" w14:textId="77777777" w:rsidR="001A46E5" w:rsidRDefault="00F65B9D">
      <w:pPr>
        <w:spacing w:line="276" w:lineRule="auto"/>
        <w:rPr>
          <w:b/>
          <w:sz w:val="22"/>
          <w:szCs w:val="22"/>
        </w:rPr>
      </w:pPr>
      <w:r>
        <w:rPr>
          <w:b/>
          <w:sz w:val="22"/>
          <w:szCs w:val="22"/>
        </w:rPr>
        <w:t>What we know today:</w:t>
      </w:r>
    </w:p>
    <w:p w14:paraId="00000012" w14:textId="77777777" w:rsidR="001A46E5" w:rsidRDefault="001A46E5">
      <w:pPr>
        <w:spacing w:line="276" w:lineRule="auto"/>
        <w:rPr>
          <w:b/>
          <w:sz w:val="22"/>
          <w:szCs w:val="22"/>
        </w:rPr>
      </w:pPr>
    </w:p>
    <w:p w14:paraId="00000013" w14:textId="77777777" w:rsidR="001A46E5" w:rsidRDefault="00F65B9D">
      <w:pPr>
        <w:widowControl w:val="0"/>
        <w:numPr>
          <w:ilvl w:val="0"/>
          <w:numId w:val="4"/>
        </w:numPr>
        <w:pBdr>
          <w:top w:val="nil"/>
          <w:left w:val="nil"/>
          <w:bottom w:val="nil"/>
          <w:right w:val="nil"/>
          <w:between w:val="nil"/>
        </w:pBdr>
        <w:spacing w:line="276" w:lineRule="auto"/>
        <w:jc w:val="both"/>
        <w:rPr>
          <w:sz w:val="22"/>
          <w:szCs w:val="22"/>
        </w:rPr>
      </w:pPr>
      <w:r>
        <w:rPr>
          <w:b/>
          <w:color w:val="000000"/>
          <w:sz w:val="22"/>
          <w:szCs w:val="22"/>
        </w:rPr>
        <w:t>All children need families</w:t>
      </w:r>
      <w:r>
        <w:rPr>
          <w:color w:val="000000"/>
          <w:sz w:val="22"/>
          <w:szCs w:val="22"/>
        </w:rPr>
        <w:t xml:space="preserve"> – A growing body of scientific research shows that </w:t>
      </w:r>
      <w:r>
        <w:rPr>
          <w:i/>
          <w:color w:val="000000"/>
          <w:sz w:val="22"/>
          <w:szCs w:val="22"/>
        </w:rPr>
        <w:t>all</w:t>
      </w:r>
      <w:r>
        <w:rPr>
          <w:color w:val="000000"/>
          <w:sz w:val="22"/>
          <w:szCs w:val="22"/>
        </w:rPr>
        <w:t xml:space="preserve"> children need families for their healthy emotional, </w:t>
      </w:r>
      <w:proofErr w:type="gramStart"/>
      <w:r>
        <w:rPr>
          <w:color w:val="000000"/>
          <w:sz w:val="22"/>
          <w:szCs w:val="22"/>
        </w:rPr>
        <w:t>cognitive</w:t>
      </w:r>
      <w:proofErr w:type="gramEnd"/>
      <w:r>
        <w:rPr>
          <w:color w:val="000000"/>
          <w:sz w:val="22"/>
          <w:szCs w:val="22"/>
        </w:rPr>
        <w:t xml:space="preserve"> and physical development. In a comprehensive review of the research literature, an international consensus stat</w:t>
      </w:r>
      <w:r>
        <w:rPr>
          <w:color w:val="000000"/>
          <w:sz w:val="22"/>
          <w:szCs w:val="22"/>
        </w:rPr>
        <w:t>ement adopted by researchers on child welfare concluded that “[g]</w:t>
      </w:r>
      <w:proofErr w:type="spellStart"/>
      <w:r>
        <w:rPr>
          <w:color w:val="000000"/>
          <w:sz w:val="22"/>
          <w:szCs w:val="22"/>
        </w:rPr>
        <w:t>roup</w:t>
      </w:r>
      <w:proofErr w:type="spellEnd"/>
      <w:r>
        <w:rPr>
          <w:color w:val="000000"/>
          <w:sz w:val="22"/>
          <w:szCs w:val="22"/>
        </w:rPr>
        <w:t xml:space="preserve"> settings should not be used as living arrangements, because of their </w:t>
      </w:r>
      <w:r>
        <w:rPr>
          <w:i/>
          <w:color w:val="000000"/>
          <w:sz w:val="22"/>
          <w:szCs w:val="22"/>
        </w:rPr>
        <w:t>inherently detrimental</w:t>
      </w:r>
      <w:r>
        <w:rPr>
          <w:color w:val="000000"/>
          <w:sz w:val="22"/>
          <w:szCs w:val="22"/>
        </w:rPr>
        <w:t xml:space="preserve"> effects on the healthy development of children, regardless of age.”</w:t>
      </w:r>
      <w:r>
        <w:rPr>
          <w:color w:val="000000"/>
          <w:sz w:val="22"/>
          <w:szCs w:val="22"/>
          <w:vertAlign w:val="superscript"/>
        </w:rPr>
        <w:t xml:space="preserve"> </w:t>
      </w:r>
      <w:r>
        <w:rPr>
          <w:color w:val="000000"/>
          <w:sz w:val="22"/>
          <w:szCs w:val="22"/>
          <w:vertAlign w:val="superscript"/>
        </w:rPr>
        <w:footnoteReference w:id="1"/>
      </w:r>
      <w:r>
        <w:rPr>
          <w:b/>
          <w:sz w:val="22"/>
          <w:szCs w:val="22"/>
        </w:rPr>
        <w:t xml:space="preserve">  </w:t>
      </w:r>
    </w:p>
    <w:p w14:paraId="00000014" w14:textId="77777777" w:rsidR="001A46E5" w:rsidRDefault="00F65B9D">
      <w:pPr>
        <w:numPr>
          <w:ilvl w:val="0"/>
          <w:numId w:val="2"/>
        </w:numPr>
        <w:pBdr>
          <w:top w:val="nil"/>
          <w:left w:val="nil"/>
          <w:bottom w:val="nil"/>
          <w:right w:val="nil"/>
          <w:between w:val="nil"/>
        </w:pBdr>
        <w:spacing w:line="276" w:lineRule="auto"/>
        <w:jc w:val="both"/>
        <w:rPr>
          <w:sz w:val="22"/>
          <w:szCs w:val="22"/>
        </w:rPr>
      </w:pPr>
      <w:r>
        <w:rPr>
          <w:b/>
          <w:color w:val="000000"/>
          <w:sz w:val="22"/>
          <w:szCs w:val="22"/>
        </w:rPr>
        <w:t>Evidence now exists</w:t>
      </w:r>
      <w:r>
        <w:rPr>
          <w:color w:val="000000"/>
          <w:sz w:val="22"/>
          <w:szCs w:val="22"/>
        </w:rPr>
        <w:t xml:space="preserve"> </w:t>
      </w:r>
      <w:r>
        <w:rPr>
          <w:b/>
          <w:color w:val="000000"/>
          <w:sz w:val="22"/>
          <w:szCs w:val="22"/>
        </w:rPr>
        <w:t>s</w:t>
      </w:r>
      <w:r>
        <w:rPr>
          <w:b/>
          <w:color w:val="000000"/>
          <w:sz w:val="22"/>
          <w:szCs w:val="22"/>
        </w:rPr>
        <w:t xml:space="preserve">howing that </w:t>
      </w:r>
      <w:r>
        <w:rPr>
          <w:b/>
          <w:i/>
          <w:color w:val="000000"/>
          <w:sz w:val="22"/>
          <w:szCs w:val="22"/>
        </w:rPr>
        <w:t xml:space="preserve">all </w:t>
      </w:r>
      <w:r>
        <w:rPr>
          <w:b/>
          <w:color w:val="000000"/>
          <w:sz w:val="22"/>
          <w:szCs w:val="22"/>
        </w:rPr>
        <w:t>children can live safely and thrive in families</w:t>
      </w:r>
      <w:r>
        <w:rPr>
          <w:color w:val="000000"/>
          <w:sz w:val="22"/>
          <w:szCs w:val="22"/>
        </w:rPr>
        <w:t>; all children with disabilities, no matter what their support needs, can and must be supported and accommodated to live in families.</w:t>
      </w:r>
    </w:p>
    <w:p w14:paraId="00000015" w14:textId="77777777" w:rsidR="001A46E5" w:rsidRDefault="00F65B9D">
      <w:pPr>
        <w:numPr>
          <w:ilvl w:val="0"/>
          <w:numId w:val="2"/>
        </w:numPr>
        <w:pBdr>
          <w:top w:val="nil"/>
          <w:left w:val="nil"/>
          <w:bottom w:val="nil"/>
          <w:right w:val="nil"/>
          <w:between w:val="nil"/>
        </w:pBdr>
        <w:spacing w:line="276" w:lineRule="auto"/>
        <w:jc w:val="both"/>
        <w:rPr>
          <w:sz w:val="22"/>
          <w:szCs w:val="22"/>
        </w:rPr>
      </w:pPr>
      <w:r>
        <w:rPr>
          <w:b/>
          <w:sz w:val="22"/>
          <w:szCs w:val="22"/>
        </w:rPr>
        <w:t>Most children have families</w:t>
      </w:r>
      <w:r>
        <w:rPr>
          <w:sz w:val="22"/>
          <w:szCs w:val="22"/>
        </w:rPr>
        <w:t xml:space="preserve"> and are placed in institutions </w:t>
      </w:r>
      <w:r>
        <w:rPr>
          <w:sz w:val="22"/>
          <w:szCs w:val="22"/>
        </w:rPr>
        <w:t>due to poverty and/or disability and the stigma associated with disability; if legal protection and supports for families were available, new placements could be stopped.</w:t>
      </w:r>
      <w:r>
        <w:rPr>
          <w:color w:val="000000"/>
          <w:sz w:val="22"/>
          <w:szCs w:val="22"/>
        </w:rPr>
        <w:t xml:space="preserve">    </w:t>
      </w:r>
    </w:p>
    <w:p w14:paraId="00000016" w14:textId="77777777" w:rsidR="001A46E5" w:rsidRDefault="00F65B9D">
      <w:pPr>
        <w:numPr>
          <w:ilvl w:val="0"/>
          <w:numId w:val="2"/>
        </w:numPr>
        <w:pBdr>
          <w:top w:val="nil"/>
          <w:left w:val="nil"/>
          <w:bottom w:val="nil"/>
          <w:right w:val="nil"/>
          <w:between w:val="nil"/>
        </w:pBdr>
        <w:spacing w:line="276" w:lineRule="auto"/>
        <w:jc w:val="both"/>
        <w:rPr>
          <w:sz w:val="22"/>
          <w:szCs w:val="22"/>
        </w:rPr>
      </w:pPr>
      <w:r>
        <w:rPr>
          <w:b/>
          <w:color w:val="000000"/>
          <w:sz w:val="22"/>
          <w:szCs w:val="22"/>
        </w:rPr>
        <w:t>Millions of children remain</w:t>
      </w:r>
      <w:r>
        <w:rPr>
          <w:color w:val="000000"/>
          <w:sz w:val="22"/>
          <w:szCs w:val="22"/>
        </w:rPr>
        <w:t xml:space="preserve"> in institutions and residential care around the world</w:t>
      </w:r>
      <w:r>
        <w:rPr>
          <w:color w:val="000000"/>
          <w:sz w:val="22"/>
          <w:szCs w:val="22"/>
        </w:rPr>
        <w:t>;</w:t>
      </w:r>
      <w:r>
        <w:rPr>
          <w:sz w:val="22"/>
          <w:szCs w:val="22"/>
        </w:rPr>
        <w:t xml:space="preserve"> it is likely</w:t>
      </w:r>
      <w:r>
        <w:rPr>
          <w:color w:val="000000"/>
          <w:sz w:val="22"/>
          <w:szCs w:val="22"/>
        </w:rPr>
        <w:t xml:space="preserve"> that public and private funding will continue to be used</w:t>
      </w:r>
      <w:r>
        <w:rPr>
          <w:sz w:val="22"/>
          <w:szCs w:val="22"/>
        </w:rPr>
        <w:t xml:space="preserve"> </w:t>
      </w:r>
      <w:r>
        <w:rPr>
          <w:color w:val="000000"/>
          <w:sz w:val="22"/>
          <w:szCs w:val="22"/>
        </w:rPr>
        <w:t xml:space="preserve">to move children from large to smaller </w:t>
      </w:r>
      <w:r>
        <w:rPr>
          <w:color w:val="000000"/>
          <w:sz w:val="22"/>
          <w:szCs w:val="22"/>
        </w:rPr>
        <w:lastRenderedPageBreak/>
        <w:t xml:space="preserve">institutions (such as group homes), rather than to family-based care. This is why clarity and harmonization </w:t>
      </w:r>
      <w:proofErr w:type="gramStart"/>
      <w:r>
        <w:rPr>
          <w:color w:val="000000"/>
          <w:sz w:val="22"/>
          <w:szCs w:val="22"/>
        </w:rPr>
        <w:t>is</w:t>
      </w:r>
      <w:proofErr w:type="gramEnd"/>
      <w:r>
        <w:rPr>
          <w:color w:val="000000"/>
          <w:sz w:val="22"/>
          <w:szCs w:val="22"/>
        </w:rPr>
        <w:t xml:space="preserve"> needed on human rights standards</w:t>
      </w:r>
      <w:r>
        <w:rPr>
          <w:sz w:val="22"/>
          <w:szCs w:val="22"/>
        </w:rPr>
        <w:t>.</w:t>
      </w:r>
    </w:p>
    <w:p w14:paraId="00000017" w14:textId="77777777" w:rsidR="001A46E5" w:rsidRDefault="00F65B9D">
      <w:pPr>
        <w:numPr>
          <w:ilvl w:val="0"/>
          <w:numId w:val="2"/>
        </w:numPr>
        <w:pBdr>
          <w:top w:val="nil"/>
          <w:left w:val="nil"/>
          <w:bottom w:val="nil"/>
          <w:right w:val="nil"/>
          <w:between w:val="nil"/>
        </w:pBdr>
        <w:spacing w:line="276" w:lineRule="auto"/>
        <w:jc w:val="both"/>
        <w:rPr>
          <w:sz w:val="22"/>
          <w:szCs w:val="22"/>
        </w:rPr>
      </w:pPr>
      <w:r>
        <w:rPr>
          <w:b/>
          <w:sz w:val="22"/>
          <w:szCs w:val="22"/>
        </w:rPr>
        <w:t>There is a high risk of specific forms of violence,</w:t>
      </w:r>
      <w:r>
        <w:rPr>
          <w:sz w:val="22"/>
          <w:szCs w:val="22"/>
        </w:rPr>
        <w:t xml:space="preserve"> abuse, and exploitation associated with non-family-based congregate group settings for children. Girls and non-binary children with disabilities are particularly at risk of such violence in these settings</w:t>
      </w:r>
      <w:r>
        <w:rPr>
          <w:sz w:val="22"/>
          <w:szCs w:val="22"/>
        </w:rPr>
        <w:t>.</w:t>
      </w:r>
    </w:p>
    <w:p w14:paraId="00000018" w14:textId="77777777" w:rsidR="001A46E5" w:rsidRDefault="00F65B9D">
      <w:pPr>
        <w:numPr>
          <w:ilvl w:val="0"/>
          <w:numId w:val="2"/>
        </w:numPr>
        <w:pBdr>
          <w:top w:val="nil"/>
          <w:left w:val="nil"/>
          <w:bottom w:val="nil"/>
          <w:right w:val="nil"/>
          <w:between w:val="nil"/>
        </w:pBdr>
        <w:spacing w:line="276" w:lineRule="auto"/>
        <w:jc w:val="both"/>
        <w:rPr>
          <w:sz w:val="22"/>
          <w:szCs w:val="22"/>
        </w:rPr>
      </w:pPr>
      <w:r>
        <w:rPr>
          <w:b/>
          <w:color w:val="000000"/>
          <w:sz w:val="22"/>
          <w:szCs w:val="22"/>
        </w:rPr>
        <w:t>Children with disabilities are often left behind</w:t>
      </w:r>
      <w:r>
        <w:rPr>
          <w:color w:val="000000"/>
          <w:sz w:val="22"/>
          <w:szCs w:val="22"/>
        </w:rPr>
        <w:t xml:space="preserve"> in childcare reform programs; unless family support is guaranteed and protected, children with disabilities are at risk of remaining in large or small institutions, segregated </w:t>
      </w:r>
      <w:r>
        <w:rPr>
          <w:sz w:val="22"/>
          <w:szCs w:val="22"/>
        </w:rPr>
        <w:t>from the community</w:t>
      </w:r>
      <w:r>
        <w:rPr>
          <w:color w:val="000000"/>
          <w:sz w:val="22"/>
          <w:szCs w:val="22"/>
        </w:rPr>
        <w:t>.</w:t>
      </w:r>
    </w:p>
    <w:p w14:paraId="00000019" w14:textId="77777777" w:rsidR="001A46E5" w:rsidRDefault="001A46E5">
      <w:pPr>
        <w:spacing w:line="276" w:lineRule="auto"/>
        <w:jc w:val="both"/>
        <w:rPr>
          <w:b/>
          <w:sz w:val="22"/>
          <w:szCs w:val="22"/>
        </w:rPr>
      </w:pPr>
    </w:p>
    <w:p w14:paraId="0000001A" w14:textId="77777777" w:rsidR="001A46E5" w:rsidRDefault="00F65B9D">
      <w:pPr>
        <w:spacing w:line="276" w:lineRule="auto"/>
        <w:jc w:val="both"/>
        <w:rPr>
          <w:sz w:val="22"/>
          <w:szCs w:val="22"/>
        </w:rPr>
      </w:pPr>
      <w:r>
        <w:rPr>
          <w:b/>
          <w:sz w:val="22"/>
          <w:szCs w:val="22"/>
        </w:rPr>
        <w:t>Guidance from international human rights mechanisms should</w:t>
      </w:r>
      <w:r>
        <w:rPr>
          <w:b/>
          <w:sz w:val="22"/>
          <w:szCs w:val="22"/>
        </w:rPr>
        <w:t xml:space="preserve"> be harmonized to strengthen protection of the right to family life. Consistent and harmonized</w:t>
      </w:r>
      <w:r>
        <w:rPr>
          <w:sz w:val="22"/>
          <w:szCs w:val="22"/>
        </w:rPr>
        <w:t xml:space="preserve"> messages are important to ensure governments, service providers, and donors take unified action to promote the right to family life for all children. To this end</w:t>
      </w:r>
      <w:r>
        <w:rPr>
          <w:sz w:val="22"/>
          <w:szCs w:val="22"/>
        </w:rPr>
        <w:t>, efforts towards harmonized guidance and standards should:</w:t>
      </w:r>
    </w:p>
    <w:p w14:paraId="0000001B" w14:textId="77777777" w:rsidR="001A46E5" w:rsidRDefault="00F65B9D">
      <w:pPr>
        <w:pBdr>
          <w:top w:val="nil"/>
          <w:left w:val="nil"/>
          <w:bottom w:val="nil"/>
          <w:right w:val="nil"/>
          <w:between w:val="nil"/>
        </w:pBdr>
        <w:spacing w:line="276" w:lineRule="auto"/>
        <w:ind w:left="720"/>
        <w:jc w:val="both"/>
        <w:rPr>
          <w:b/>
          <w:color w:val="000000"/>
          <w:sz w:val="22"/>
          <w:szCs w:val="22"/>
        </w:rPr>
      </w:pPr>
      <w:r>
        <w:rPr>
          <w:color w:val="000000"/>
          <w:sz w:val="22"/>
          <w:szCs w:val="22"/>
        </w:rPr>
        <w:t xml:space="preserve"> </w:t>
      </w:r>
    </w:p>
    <w:p w14:paraId="0000001C" w14:textId="77777777" w:rsidR="001A46E5" w:rsidRDefault="00F65B9D">
      <w:pPr>
        <w:numPr>
          <w:ilvl w:val="0"/>
          <w:numId w:val="3"/>
        </w:numPr>
        <w:pBdr>
          <w:top w:val="nil"/>
          <w:left w:val="nil"/>
          <w:bottom w:val="nil"/>
          <w:right w:val="nil"/>
          <w:between w:val="nil"/>
        </w:pBdr>
        <w:spacing w:line="276" w:lineRule="auto"/>
        <w:jc w:val="both"/>
        <w:rPr>
          <w:color w:val="000000"/>
          <w:sz w:val="22"/>
          <w:szCs w:val="22"/>
        </w:rPr>
      </w:pPr>
      <w:r>
        <w:rPr>
          <w:b/>
          <w:sz w:val="22"/>
          <w:szCs w:val="22"/>
        </w:rPr>
        <w:t>E</w:t>
      </w:r>
      <w:r>
        <w:rPr>
          <w:b/>
          <w:color w:val="000000"/>
          <w:sz w:val="22"/>
          <w:szCs w:val="22"/>
        </w:rPr>
        <w:t xml:space="preserve">xplicitly acknowledge </w:t>
      </w:r>
      <w:r>
        <w:rPr>
          <w:b/>
          <w:sz w:val="22"/>
          <w:szCs w:val="22"/>
        </w:rPr>
        <w:t>that the right</w:t>
      </w:r>
      <w:r>
        <w:rPr>
          <w:color w:val="000000"/>
          <w:sz w:val="22"/>
          <w:szCs w:val="22"/>
        </w:rPr>
        <w:t xml:space="preserve"> to family life is only fulfilled for children when they grow up in an environment where they can form stable relations with a committed adult </w:t>
      </w:r>
      <w:proofErr w:type="gramStart"/>
      <w:r>
        <w:rPr>
          <w:color w:val="000000"/>
          <w:sz w:val="22"/>
          <w:szCs w:val="22"/>
        </w:rPr>
        <w:t>care-giver</w:t>
      </w:r>
      <w:proofErr w:type="gramEnd"/>
      <w:r>
        <w:rPr>
          <w:color w:val="000000"/>
          <w:sz w:val="22"/>
          <w:szCs w:val="22"/>
        </w:rPr>
        <w:t>. Conversely, the right to family life cannot be fulfilled in any form of institution or non-family env</w:t>
      </w:r>
      <w:r>
        <w:rPr>
          <w:color w:val="000000"/>
          <w:sz w:val="22"/>
          <w:szCs w:val="22"/>
        </w:rPr>
        <w:t>ironment.</w:t>
      </w:r>
    </w:p>
    <w:p w14:paraId="0000001D" w14:textId="77777777" w:rsidR="001A46E5" w:rsidRDefault="00F65B9D">
      <w:pPr>
        <w:widowControl w:val="0"/>
        <w:numPr>
          <w:ilvl w:val="0"/>
          <w:numId w:val="3"/>
        </w:numPr>
        <w:spacing w:line="276" w:lineRule="auto"/>
        <w:jc w:val="both"/>
        <w:rPr>
          <w:sz w:val="22"/>
          <w:szCs w:val="22"/>
        </w:rPr>
      </w:pPr>
      <w:r>
        <w:rPr>
          <w:b/>
          <w:sz w:val="22"/>
          <w:szCs w:val="22"/>
        </w:rPr>
        <w:t>Reflect that families may take different and diverse</w:t>
      </w:r>
      <w:r>
        <w:rPr>
          <w:sz w:val="22"/>
          <w:szCs w:val="22"/>
        </w:rPr>
        <w:t xml:space="preserve"> </w:t>
      </w:r>
      <w:r>
        <w:rPr>
          <w:b/>
          <w:sz w:val="22"/>
          <w:szCs w:val="22"/>
        </w:rPr>
        <w:t>forms</w:t>
      </w:r>
      <w:r>
        <w:rPr>
          <w:sz w:val="22"/>
          <w:szCs w:val="22"/>
        </w:rPr>
        <w:t xml:space="preserve"> and may include a broad array of relationships, including married and unmarried parents, single parents, same-sex parents, adoptive families, kinship care, </w:t>
      </w:r>
      <w:proofErr w:type="spellStart"/>
      <w:r>
        <w:rPr>
          <w:sz w:val="22"/>
          <w:szCs w:val="22"/>
        </w:rPr>
        <w:t>kafalah</w:t>
      </w:r>
      <w:proofErr w:type="spellEnd"/>
      <w:r>
        <w:rPr>
          <w:sz w:val="22"/>
          <w:szCs w:val="22"/>
        </w:rPr>
        <w:t>, sibling care, extended</w:t>
      </w:r>
      <w:r>
        <w:rPr>
          <w:sz w:val="22"/>
          <w:szCs w:val="22"/>
        </w:rPr>
        <w:t xml:space="preserve"> family, and substitute families or foster care.</w:t>
      </w:r>
    </w:p>
    <w:p w14:paraId="0000001E" w14:textId="77777777" w:rsidR="001A46E5" w:rsidRDefault="00F65B9D">
      <w:pPr>
        <w:numPr>
          <w:ilvl w:val="0"/>
          <w:numId w:val="3"/>
        </w:numPr>
        <w:spacing w:line="276" w:lineRule="auto"/>
        <w:jc w:val="both"/>
        <w:rPr>
          <w:sz w:val="22"/>
          <w:szCs w:val="22"/>
        </w:rPr>
      </w:pPr>
      <w:r>
        <w:rPr>
          <w:b/>
          <w:sz w:val="22"/>
          <w:szCs w:val="22"/>
        </w:rPr>
        <w:t xml:space="preserve">Strive to review and update previous standards, such as </w:t>
      </w:r>
      <w:r>
        <w:rPr>
          <w:sz w:val="22"/>
          <w:szCs w:val="22"/>
        </w:rPr>
        <w:t>the UN Guidelines for the Alternative Care of Children, to reflect current scientific knowledge about the dangers of non-family-based congregate care a</w:t>
      </w:r>
      <w:r>
        <w:rPr>
          <w:sz w:val="22"/>
          <w:szCs w:val="22"/>
        </w:rPr>
        <w:t xml:space="preserve">nd any kind of institutional or residential care placement. </w:t>
      </w:r>
    </w:p>
    <w:p w14:paraId="0000001F" w14:textId="77777777" w:rsidR="001A46E5" w:rsidRDefault="00F65B9D">
      <w:pPr>
        <w:pBdr>
          <w:top w:val="nil"/>
          <w:left w:val="nil"/>
          <w:bottom w:val="nil"/>
          <w:right w:val="nil"/>
          <w:between w:val="nil"/>
        </w:pBdr>
        <w:spacing w:line="276" w:lineRule="auto"/>
        <w:ind w:left="720"/>
        <w:jc w:val="both"/>
        <w:rPr>
          <w:sz w:val="22"/>
          <w:szCs w:val="22"/>
        </w:rPr>
      </w:pPr>
      <w:r>
        <w:rPr>
          <w:sz w:val="22"/>
          <w:szCs w:val="22"/>
        </w:rPr>
        <w:t xml:space="preserve">     </w:t>
      </w:r>
    </w:p>
    <w:p w14:paraId="00000020" w14:textId="77777777" w:rsidR="001A46E5" w:rsidRDefault="001A46E5">
      <w:pPr>
        <w:pBdr>
          <w:top w:val="nil"/>
          <w:left w:val="nil"/>
          <w:bottom w:val="nil"/>
          <w:right w:val="nil"/>
          <w:between w:val="nil"/>
        </w:pBdr>
        <w:spacing w:line="276" w:lineRule="auto"/>
        <w:jc w:val="both"/>
        <w:rPr>
          <w:sz w:val="22"/>
          <w:szCs w:val="22"/>
        </w:rPr>
      </w:pPr>
    </w:p>
    <w:p w14:paraId="00000021" w14:textId="77777777" w:rsidR="001A46E5" w:rsidRDefault="00F65B9D">
      <w:pPr>
        <w:spacing w:line="276" w:lineRule="auto"/>
        <w:jc w:val="both"/>
        <w:rPr>
          <w:b/>
          <w:sz w:val="22"/>
          <w:szCs w:val="22"/>
        </w:rPr>
      </w:pPr>
      <w:r>
        <w:rPr>
          <w:b/>
          <w:sz w:val="22"/>
          <w:szCs w:val="22"/>
        </w:rPr>
        <w:t>Harmonized guidance and standards will have important benefits for all children, as they will contribute to:</w:t>
      </w:r>
    </w:p>
    <w:p w14:paraId="00000022" w14:textId="77777777" w:rsidR="001A46E5" w:rsidRDefault="001A46E5">
      <w:pPr>
        <w:spacing w:line="276" w:lineRule="auto"/>
        <w:jc w:val="both"/>
        <w:rPr>
          <w:b/>
          <w:sz w:val="22"/>
          <w:szCs w:val="22"/>
        </w:rPr>
      </w:pPr>
    </w:p>
    <w:p w14:paraId="00000023" w14:textId="77777777" w:rsidR="001A46E5" w:rsidRDefault="00F65B9D">
      <w:pPr>
        <w:numPr>
          <w:ilvl w:val="0"/>
          <w:numId w:val="5"/>
        </w:numPr>
        <w:pBdr>
          <w:top w:val="nil"/>
          <w:left w:val="nil"/>
          <w:bottom w:val="nil"/>
          <w:right w:val="nil"/>
          <w:between w:val="nil"/>
        </w:pBdr>
        <w:spacing w:line="276" w:lineRule="auto"/>
        <w:jc w:val="both"/>
        <w:rPr>
          <w:b/>
          <w:color w:val="000000"/>
          <w:sz w:val="22"/>
          <w:szCs w:val="22"/>
        </w:rPr>
      </w:pPr>
      <w:r>
        <w:rPr>
          <w:b/>
          <w:sz w:val="22"/>
          <w:szCs w:val="22"/>
        </w:rPr>
        <w:t xml:space="preserve">Strengthening the role of families </w:t>
      </w:r>
      <w:r>
        <w:rPr>
          <w:sz w:val="22"/>
          <w:szCs w:val="22"/>
        </w:rPr>
        <w:t xml:space="preserve">and enhancing policies to support parents in the exercise of their child rearing responsibilities, preventing family </w:t>
      </w:r>
      <w:proofErr w:type="gramStart"/>
      <w:r>
        <w:rPr>
          <w:sz w:val="22"/>
          <w:szCs w:val="22"/>
        </w:rPr>
        <w:t>separation</w:t>
      </w:r>
      <w:proofErr w:type="gramEnd"/>
      <w:r>
        <w:rPr>
          <w:sz w:val="22"/>
          <w:szCs w:val="22"/>
        </w:rPr>
        <w:t xml:space="preserve"> and fostering inclusion and participation in the community. </w:t>
      </w:r>
    </w:p>
    <w:p w14:paraId="00000024" w14:textId="77777777" w:rsidR="001A46E5" w:rsidRDefault="00F65B9D">
      <w:pPr>
        <w:numPr>
          <w:ilvl w:val="0"/>
          <w:numId w:val="5"/>
        </w:numPr>
        <w:pBdr>
          <w:top w:val="nil"/>
          <w:left w:val="nil"/>
          <w:bottom w:val="nil"/>
          <w:right w:val="nil"/>
          <w:between w:val="nil"/>
        </w:pBdr>
        <w:spacing w:line="276" w:lineRule="auto"/>
        <w:jc w:val="both"/>
        <w:rPr>
          <w:b/>
          <w:color w:val="000000"/>
          <w:sz w:val="22"/>
          <w:szCs w:val="22"/>
        </w:rPr>
      </w:pPr>
      <w:r>
        <w:rPr>
          <w:b/>
          <w:sz w:val="22"/>
          <w:szCs w:val="22"/>
        </w:rPr>
        <w:t>P</w:t>
      </w:r>
      <w:r>
        <w:rPr>
          <w:b/>
          <w:color w:val="000000"/>
          <w:sz w:val="22"/>
          <w:szCs w:val="22"/>
        </w:rPr>
        <w:t>rotecting against the inherent dangers of institutionalization</w:t>
      </w:r>
      <w:r>
        <w:rPr>
          <w:color w:val="000000"/>
          <w:sz w:val="22"/>
          <w:szCs w:val="22"/>
        </w:rPr>
        <w:t>. In</w:t>
      </w:r>
      <w:r>
        <w:rPr>
          <w:color w:val="000000"/>
          <w:sz w:val="22"/>
          <w:szCs w:val="22"/>
        </w:rPr>
        <w:t xml:space="preserve">deed, </w:t>
      </w:r>
      <w:r>
        <w:rPr>
          <w:sz w:val="22"/>
          <w:szCs w:val="22"/>
        </w:rPr>
        <w:t>t</w:t>
      </w:r>
      <w:r>
        <w:rPr>
          <w:color w:val="000000"/>
          <w:sz w:val="22"/>
          <w:szCs w:val="22"/>
        </w:rPr>
        <w:t xml:space="preserve">he right to family life is </w:t>
      </w:r>
      <w:r>
        <w:rPr>
          <w:sz w:val="22"/>
          <w:szCs w:val="22"/>
        </w:rPr>
        <w:t xml:space="preserve">not respected nor fulfilled </w:t>
      </w:r>
      <w:r>
        <w:rPr>
          <w:color w:val="000000"/>
          <w:sz w:val="22"/>
          <w:szCs w:val="22"/>
        </w:rPr>
        <w:t xml:space="preserve">where the State places or acquiesces to the placement of any child in an institutional setting as their primary place of residence. </w:t>
      </w:r>
      <w:r>
        <w:rPr>
          <w:sz w:val="22"/>
          <w:szCs w:val="22"/>
        </w:rPr>
        <w:t xml:space="preserve"> </w:t>
      </w:r>
    </w:p>
    <w:p w14:paraId="00000025" w14:textId="77777777" w:rsidR="001A46E5" w:rsidRDefault="00F65B9D">
      <w:pPr>
        <w:numPr>
          <w:ilvl w:val="0"/>
          <w:numId w:val="5"/>
        </w:numPr>
        <w:pBdr>
          <w:top w:val="nil"/>
          <w:left w:val="nil"/>
          <w:bottom w:val="nil"/>
          <w:right w:val="nil"/>
          <w:between w:val="nil"/>
        </w:pBdr>
        <w:spacing w:line="276" w:lineRule="auto"/>
        <w:jc w:val="both"/>
        <w:rPr>
          <w:b/>
          <w:color w:val="000000"/>
          <w:sz w:val="22"/>
          <w:szCs w:val="22"/>
        </w:rPr>
      </w:pPr>
      <w:r>
        <w:rPr>
          <w:b/>
          <w:sz w:val="22"/>
          <w:szCs w:val="22"/>
        </w:rPr>
        <w:t>Ensuring that all children enjoy the “right to be heard”, in</w:t>
      </w:r>
      <w:r>
        <w:rPr>
          <w:b/>
          <w:sz w:val="22"/>
          <w:szCs w:val="22"/>
        </w:rPr>
        <w:t xml:space="preserve">cluding children with disabilities </w:t>
      </w:r>
      <w:r>
        <w:rPr>
          <w:sz w:val="22"/>
          <w:szCs w:val="22"/>
        </w:rPr>
        <w:t>in all care-related decisions, including but not limited to placement in care, care implementation, care review, plans to change alternative care settings or to leave alternative care, and in policy-related processes. Chi</w:t>
      </w:r>
      <w:r>
        <w:rPr>
          <w:sz w:val="22"/>
          <w:szCs w:val="22"/>
        </w:rPr>
        <w:t>ldren should be provided with age-appropriate and disability-related support needed to understand all relevant information or to express their views. Disability must never be a reason to prevent a child from expressing their view or for not taking their vi</w:t>
      </w:r>
      <w:r>
        <w:rPr>
          <w:sz w:val="22"/>
          <w:szCs w:val="22"/>
        </w:rPr>
        <w:t>ew seriously.</w:t>
      </w:r>
    </w:p>
    <w:p w14:paraId="00000026" w14:textId="77777777" w:rsidR="001A46E5" w:rsidRDefault="00F65B9D">
      <w:pPr>
        <w:spacing w:line="276" w:lineRule="auto"/>
        <w:jc w:val="both"/>
        <w:rPr>
          <w:b/>
          <w:sz w:val="22"/>
          <w:szCs w:val="22"/>
        </w:rPr>
      </w:pPr>
      <w:r>
        <w:rPr>
          <w:b/>
          <w:sz w:val="22"/>
          <w:szCs w:val="22"/>
        </w:rPr>
        <w:lastRenderedPageBreak/>
        <w:t>The undersigned organizations call on the UN human rights mechanisms, States, international cooperation agencies, donors, and other stakeholders, in close consultation and with the active involvement of organizations of persons with disabilit</w:t>
      </w:r>
      <w:r>
        <w:rPr>
          <w:b/>
          <w:sz w:val="22"/>
          <w:szCs w:val="22"/>
        </w:rPr>
        <w:t>ies, to:</w:t>
      </w:r>
    </w:p>
    <w:p w14:paraId="00000027" w14:textId="77777777" w:rsidR="001A46E5" w:rsidRDefault="001A46E5">
      <w:pPr>
        <w:spacing w:line="276" w:lineRule="auto"/>
        <w:rPr>
          <w:b/>
          <w:sz w:val="22"/>
          <w:szCs w:val="22"/>
        </w:rPr>
      </w:pPr>
    </w:p>
    <w:p w14:paraId="00000028" w14:textId="77777777" w:rsidR="001A46E5" w:rsidRDefault="00F65B9D">
      <w:pPr>
        <w:numPr>
          <w:ilvl w:val="0"/>
          <w:numId w:val="1"/>
        </w:numPr>
        <w:pBdr>
          <w:top w:val="nil"/>
          <w:left w:val="nil"/>
          <w:bottom w:val="nil"/>
          <w:right w:val="nil"/>
          <w:between w:val="nil"/>
        </w:pBdr>
        <w:spacing w:line="276" w:lineRule="auto"/>
        <w:jc w:val="both"/>
        <w:rPr>
          <w:sz w:val="22"/>
          <w:szCs w:val="22"/>
        </w:rPr>
      </w:pPr>
      <w:r>
        <w:rPr>
          <w:b/>
          <w:sz w:val="22"/>
          <w:szCs w:val="22"/>
        </w:rPr>
        <w:t xml:space="preserve">Urgently undertake every effort </w:t>
      </w:r>
      <w:r>
        <w:rPr>
          <w:color w:val="000000"/>
          <w:sz w:val="22"/>
          <w:szCs w:val="22"/>
        </w:rPr>
        <w:t xml:space="preserve">to support family-based care instead of large or small institutions; </w:t>
      </w:r>
      <w:r>
        <w:rPr>
          <w:sz w:val="22"/>
          <w:szCs w:val="22"/>
        </w:rPr>
        <w:t>available</w:t>
      </w:r>
      <w:r>
        <w:rPr>
          <w:color w:val="000000"/>
          <w:sz w:val="22"/>
          <w:szCs w:val="22"/>
        </w:rPr>
        <w:t xml:space="preserve"> resources should be used to support families and create more family-based placements</w:t>
      </w:r>
      <w:r>
        <w:rPr>
          <w:sz w:val="22"/>
          <w:szCs w:val="22"/>
        </w:rPr>
        <w:t xml:space="preserve"> --</w:t>
      </w:r>
      <w:r>
        <w:rPr>
          <w:color w:val="000000"/>
          <w:sz w:val="22"/>
          <w:szCs w:val="22"/>
        </w:rPr>
        <w:t xml:space="preserve"> </w:t>
      </w:r>
      <w:r>
        <w:rPr>
          <w:i/>
          <w:color w:val="000000"/>
          <w:sz w:val="22"/>
          <w:szCs w:val="22"/>
        </w:rPr>
        <w:t>not</w:t>
      </w:r>
      <w:r>
        <w:rPr>
          <w:color w:val="000000"/>
          <w:sz w:val="22"/>
          <w:szCs w:val="22"/>
        </w:rPr>
        <w:t xml:space="preserve"> for building or expanding any new large or small institutions (whether they are called ‘residential care’, ‘group homes’, or ‘family-like units’, or similar). According to General Comment No. 5 on the right to live independently and be included in the </w:t>
      </w:r>
      <w:r>
        <w:rPr>
          <w:sz w:val="22"/>
          <w:szCs w:val="22"/>
        </w:rPr>
        <w:t>com</w:t>
      </w:r>
      <w:r>
        <w:rPr>
          <w:sz w:val="22"/>
          <w:szCs w:val="22"/>
        </w:rPr>
        <w:t>munity</w:t>
      </w:r>
      <w:r>
        <w:rPr>
          <w:color w:val="000000"/>
          <w:sz w:val="22"/>
          <w:szCs w:val="22"/>
        </w:rPr>
        <w:t xml:space="preserve"> (2017) by the Committee on the Rights of Persons with </w:t>
      </w:r>
      <w:r>
        <w:rPr>
          <w:sz w:val="22"/>
          <w:szCs w:val="22"/>
        </w:rPr>
        <w:t>D</w:t>
      </w:r>
      <w:r>
        <w:rPr>
          <w:color w:val="000000"/>
          <w:sz w:val="22"/>
          <w:szCs w:val="22"/>
        </w:rPr>
        <w:t xml:space="preserve">isabilities: </w:t>
      </w:r>
    </w:p>
    <w:p w14:paraId="00000029" w14:textId="77777777" w:rsidR="001A46E5" w:rsidRDefault="00F65B9D">
      <w:pPr>
        <w:numPr>
          <w:ilvl w:val="1"/>
          <w:numId w:val="1"/>
        </w:numPr>
        <w:pBdr>
          <w:top w:val="nil"/>
          <w:left w:val="nil"/>
          <w:bottom w:val="nil"/>
          <w:right w:val="nil"/>
          <w:between w:val="nil"/>
        </w:pBdr>
        <w:spacing w:line="276" w:lineRule="auto"/>
        <w:jc w:val="both"/>
        <w:rPr>
          <w:sz w:val="22"/>
          <w:szCs w:val="22"/>
        </w:rPr>
      </w:pPr>
      <w:r>
        <w:rPr>
          <w:color w:val="000000"/>
          <w:sz w:val="22"/>
          <w:szCs w:val="22"/>
        </w:rPr>
        <w:t>‘</w:t>
      </w:r>
      <w:r>
        <w:rPr>
          <w:sz w:val="22"/>
          <w:szCs w:val="22"/>
        </w:rPr>
        <w:t>F</w:t>
      </w:r>
      <w:r>
        <w:rPr>
          <w:color w:val="000000"/>
          <w:sz w:val="22"/>
          <w:szCs w:val="22"/>
        </w:rPr>
        <w:t xml:space="preserve">or children, the core of the right to be included in the community entails a right to grow up in a family’ (para. 37). </w:t>
      </w:r>
    </w:p>
    <w:p w14:paraId="0000002A" w14:textId="77777777" w:rsidR="001A46E5" w:rsidRDefault="00F65B9D">
      <w:pPr>
        <w:numPr>
          <w:ilvl w:val="1"/>
          <w:numId w:val="1"/>
        </w:numPr>
        <w:pBdr>
          <w:top w:val="nil"/>
          <w:left w:val="nil"/>
          <w:bottom w:val="nil"/>
          <w:right w:val="nil"/>
          <w:between w:val="nil"/>
        </w:pBdr>
        <w:spacing w:line="276" w:lineRule="auto"/>
        <w:jc w:val="both"/>
        <w:rPr>
          <w:sz w:val="22"/>
          <w:szCs w:val="22"/>
        </w:rPr>
      </w:pPr>
      <w:r>
        <w:rPr>
          <w:sz w:val="22"/>
          <w:szCs w:val="22"/>
        </w:rPr>
        <w:t>‘</w:t>
      </w:r>
      <w:r>
        <w:rPr>
          <w:color w:val="000000"/>
          <w:sz w:val="22"/>
          <w:szCs w:val="22"/>
        </w:rPr>
        <w:t>Large or small group homes are especially dangerous for c</w:t>
      </w:r>
      <w:r>
        <w:rPr>
          <w:color w:val="000000"/>
          <w:sz w:val="22"/>
          <w:szCs w:val="22"/>
        </w:rPr>
        <w:t>hildren, for whom there is no substitute for the need to grow up with a family. ‘Family-like’ institutions are still institutions and are no substitute for care by a family.’ (</w:t>
      </w:r>
      <w:proofErr w:type="gramStart"/>
      <w:r>
        <w:rPr>
          <w:color w:val="000000"/>
          <w:sz w:val="22"/>
          <w:szCs w:val="22"/>
        </w:rPr>
        <w:t>para</w:t>
      </w:r>
      <w:proofErr w:type="gramEnd"/>
      <w:r>
        <w:rPr>
          <w:color w:val="000000"/>
          <w:sz w:val="22"/>
          <w:szCs w:val="22"/>
        </w:rPr>
        <w:t>. 16(c)).</w:t>
      </w:r>
    </w:p>
    <w:p w14:paraId="0000002B" w14:textId="77777777" w:rsidR="001A46E5" w:rsidRDefault="00F65B9D">
      <w:pPr>
        <w:numPr>
          <w:ilvl w:val="0"/>
          <w:numId w:val="1"/>
        </w:numPr>
        <w:pBdr>
          <w:top w:val="nil"/>
          <w:left w:val="nil"/>
          <w:bottom w:val="nil"/>
          <w:right w:val="nil"/>
          <w:between w:val="nil"/>
        </w:pBdr>
        <w:spacing w:line="276" w:lineRule="auto"/>
        <w:jc w:val="both"/>
        <w:rPr>
          <w:sz w:val="22"/>
          <w:szCs w:val="22"/>
        </w:rPr>
      </w:pPr>
      <w:r>
        <w:rPr>
          <w:b/>
          <w:sz w:val="22"/>
          <w:szCs w:val="22"/>
        </w:rPr>
        <w:t>Recognize</w:t>
      </w:r>
      <w:r>
        <w:rPr>
          <w:sz w:val="22"/>
          <w:szCs w:val="22"/>
        </w:rPr>
        <w:t xml:space="preserve"> that any placement of children in a residential setting outside a family should be considered as placement in an institution (UN Special Rapporteur on the Rights of Persons with Disabilities, Ending the Deprivation of Liberty </w:t>
      </w:r>
      <w:proofErr w:type="gramStart"/>
      <w:r>
        <w:rPr>
          <w:sz w:val="22"/>
          <w:szCs w:val="22"/>
        </w:rPr>
        <w:t>on the basis of</w:t>
      </w:r>
      <w:proofErr w:type="gramEnd"/>
      <w:r>
        <w:rPr>
          <w:sz w:val="22"/>
          <w:szCs w:val="22"/>
        </w:rPr>
        <w:t xml:space="preserve"> Disability (2</w:t>
      </w:r>
      <w:r>
        <w:rPr>
          <w:sz w:val="22"/>
          <w:szCs w:val="22"/>
        </w:rPr>
        <w:t>019) A/HRC/40/54).</w:t>
      </w:r>
    </w:p>
    <w:p w14:paraId="0000002C" w14:textId="77777777" w:rsidR="001A46E5" w:rsidRDefault="00F65B9D">
      <w:pPr>
        <w:numPr>
          <w:ilvl w:val="0"/>
          <w:numId w:val="1"/>
        </w:numPr>
        <w:pBdr>
          <w:top w:val="nil"/>
          <w:left w:val="nil"/>
          <w:bottom w:val="nil"/>
          <w:right w:val="nil"/>
          <w:between w:val="nil"/>
        </w:pBdr>
        <w:spacing w:line="276" w:lineRule="auto"/>
        <w:jc w:val="both"/>
        <w:rPr>
          <w:color w:val="000000"/>
          <w:sz w:val="22"/>
          <w:szCs w:val="22"/>
        </w:rPr>
      </w:pPr>
      <w:r>
        <w:rPr>
          <w:b/>
          <w:sz w:val="22"/>
          <w:szCs w:val="22"/>
        </w:rPr>
        <w:t>Adopt measures</w:t>
      </w:r>
      <w:r>
        <w:rPr>
          <w:sz w:val="22"/>
          <w:szCs w:val="22"/>
        </w:rPr>
        <w:t xml:space="preserve"> to promote and enhance the </w:t>
      </w:r>
      <w:r>
        <w:rPr>
          <w:b/>
          <w:color w:val="000000"/>
          <w:sz w:val="22"/>
          <w:szCs w:val="22"/>
        </w:rPr>
        <w:t xml:space="preserve">development of support services for children with disabilities and their families </w:t>
      </w:r>
      <w:r>
        <w:rPr>
          <w:color w:val="000000"/>
          <w:sz w:val="22"/>
          <w:szCs w:val="22"/>
        </w:rPr>
        <w:t>to facilitate the adequate exercise of parental rights and responsibilities and to facilitate the inclusion of ch</w:t>
      </w:r>
      <w:r>
        <w:rPr>
          <w:color w:val="000000"/>
          <w:sz w:val="22"/>
          <w:szCs w:val="22"/>
        </w:rPr>
        <w:t xml:space="preserve">ildren with disabilities in community life. </w:t>
      </w:r>
      <w:r>
        <w:rPr>
          <w:sz w:val="22"/>
          <w:szCs w:val="22"/>
        </w:rPr>
        <w:t xml:space="preserve">Governments must plan for phasing out institutions, including all forms of residential care and group homes. This includes: </w:t>
      </w:r>
    </w:p>
    <w:p w14:paraId="0000002D" w14:textId="77777777" w:rsidR="001A46E5" w:rsidRDefault="00F65B9D">
      <w:pPr>
        <w:numPr>
          <w:ilvl w:val="1"/>
          <w:numId w:val="1"/>
        </w:numPr>
        <w:pBdr>
          <w:top w:val="nil"/>
          <w:left w:val="nil"/>
          <w:bottom w:val="nil"/>
          <w:right w:val="nil"/>
          <w:between w:val="nil"/>
        </w:pBdr>
        <w:spacing w:line="276" w:lineRule="auto"/>
        <w:jc w:val="both"/>
        <w:rPr>
          <w:color w:val="000000"/>
          <w:sz w:val="22"/>
          <w:szCs w:val="22"/>
        </w:rPr>
      </w:pPr>
      <w:r>
        <w:rPr>
          <w:sz w:val="22"/>
          <w:szCs w:val="22"/>
        </w:rPr>
        <w:t>adopting a moratorium on new admissions to institutions while immediately putting in pl</w:t>
      </w:r>
      <w:r>
        <w:rPr>
          <w:sz w:val="22"/>
          <w:szCs w:val="22"/>
        </w:rPr>
        <w:t xml:space="preserve">ace support to families of children at risk of </w:t>
      </w:r>
      <w:proofErr w:type="spellStart"/>
      <w:proofErr w:type="gramStart"/>
      <w:r>
        <w:rPr>
          <w:sz w:val="22"/>
          <w:szCs w:val="22"/>
        </w:rPr>
        <w:t>institutionalisation</w:t>
      </w:r>
      <w:proofErr w:type="spellEnd"/>
      <w:r>
        <w:rPr>
          <w:sz w:val="22"/>
          <w:szCs w:val="22"/>
        </w:rPr>
        <w:t>;</w:t>
      </w:r>
      <w:proofErr w:type="gramEnd"/>
    </w:p>
    <w:p w14:paraId="0000002E" w14:textId="77777777" w:rsidR="001A46E5" w:rsidRDefault="00F65B9D">
      <w:pPr>
        <w:numPr>
          <w:ilvl w:val="1"/>
          <w:numId w:val="1"/>
        </w:numPr>
        <w:pBdr>
          <w:top w:val="nil"/>
          <w:left w:val="nil"/>
          <w:bottom w:val="nil"/>
          <w:right w:val="nil"/>
          <w:between w:val="nil"/>
        </w:pBdr>
        <w:spacing w:line="276" w:lineRule="auto"/>
        <w:jc w:val="both"/>
        <w:rPr>
          <w:color w:val="000000"/>
          <w:sz w:val="22"/>
          <w:szCs w:val="22"/>
        </w:rPr>
      </w:pPr>
      <w:r>
        <w:rPr>
          <w:sz w:val="22"/>
          <w:szCs w:val="22"/>
        </w:rPr>
        <w:t xml:space="preserve">preventing the construction or expansion of new </w:t>
      </w:r>
      <w:proofErr w:type="gramStart"/>
      <w:r>
        <w:rPr>
          <w:sz w:val="22"/>
          <w:szCs w:val="22"/>
        </w:rPr>
        <w:t>institutions;</w:t>
      </w:r>
      <w:proofErr w:type="gramEnd"/>
      <w:r>
        <w:rPr>
          <w:sz w:val="22"/>
          <w:szCs w:val="22"/>
        </w:rPr>
        <w:t xml:space="preserve"> </w:t>
      </w:r>
    </w:p>
    <w:p w14:paraId="0000002F" w14:textId="77777777" w:rsidR="001A46E5" w:rsidRDefault="00F65B9D">
      <w:pPr>
        <w:numPr>
          <w:ilvl w:val="1"/>
          <w:numId w:val="1"/>
        </w:numPr>
        <w:pBdr>
          <w:top w:val="nil"/>
          <w:left w:val="nil"/>
          <w:bottom w:val="nil"/>
          <w:right w:val="nil"/>
          <w:between w:val="nil"/>
        </w:pBdr>
        <w:spacing w:line="276" w:lineRule="auto"/>
        <w:jc w:val="both"/>
        <w:rPr>
          <w:sz w:val="22"/>
          <w:szCs w:val="22"/>
        </w:rPr>
      </w:pPr>
      <w:r>
        <w:rPr>
          <w:sz w:val="22"/>
          <w:szCs w:val="22"/>
        </w:rPr>
        <w:t>urgently developing, in consultation with and with the involvement of persons with disabilities, including children with dis</w:t>
      </w:r>
      <w:r>
        <w:rPr>
          <w:sz w:val="22"/>
          <w:szCs w:val="22"/>
        </w:rPr>
        <w:t>abilities, concrete plans to transition children currently living in such facilities to family-based care and to phase out institutions within the minimum period and on a publicly declared time frame.</w:t>
      </w:r>
    </w:p>
    <w:p w14:paraId="00000030" w14:textId="77777777" w:rsidR="001A46E5" w:rsidRDefault="00F65B9D">
      <w:pPr>
        <w:numPr>
          <w:ilvl w:val="0"/>
          <w:numId w:val="1"/>
        </w:numPr>
        <w:pBdr>
          <w:top w:val="nil"/>
          <w:left w:val="nil"/>
          <w:bottom w:val="nil"/>
          <w:right w:val="nil"/>
          <w:between w:val="nil"/>
        </w:pBdr>
        <w:spacing w:line="276" w:lineRule="auto"/>
        <w:jc w:val="both"/>
        <w:rPr>
          <w:b/>
          <w:color w:val="000000"/>
          <w:sz w:val="22"/>
          <w:szCs w:val="22"/>
        </w:rPr>
      </w:pPr>
      <w:r>
        <w:rPr>
          <w:b/>
          <w:sz w:val="22"/>
          <w:szCs w:val="22"/>
        </w:rPr>
        <w:t>Take all possible measures</w:t>
      </w:r>
      <w:r>
        <w:rPr>
          <w:sz w:val="22"/>
          <w:szCs w:val="22"/>
        </w:rPr>
        <w:t xml:space="preserve"> to ensure the right to famil</w:t>
      </w:r>
      <w:r>
        <w:rPr>
          <w:sz w:val="22"/>
          <w:szCs w:val="22"/>
        </w:rPr>
        <w:t>y life of children is protected d</w:t>
      </w:r>
      <w:r>
        <w:rPr>
          <w:color w:val="000000"/>
          <w:sz w:val="22"/>
          <w:szCs w:val="22"/>
        </w:rPr>
        <w:t xml:space="preserve">uring publicly declared states of emergency, including situations of natural disaster and humanitarian </w:t>
      </w:r>
      <w:r>
        <w:rPr>
          <w:sz w:val="22"/>
          <w:szCs w:val="22"/>
        </w:rPr>
        <w:t>emergencies</w:t>
      </w:r>
      <w:r>
        <w:rPr>
          <w:color w:val="000000"/>
          <w:sz w:val="22"/>
          <w:szCs w:val="22"/>
        </w:rPr>
        <w:t>. Where the States have no option than to place children deprived of family care in a temporary non-family se</w:t>
      </w:r>
      <w:r>
        <w:rPr>
          <w:color w:val="000000"/>
          <w:sz w:val="22"/>
          <w:szCs w:val="22"/>
        </w:rPr>
        <w:t xml:space="preserve">tting, family ties should be actively </w:t>
      </w:r>
      <w:proofErr w:type="gramStart"/>
      <w:r>
        <w:rPr>
          <w:color w:val="000000"/>
          <w:sz w:val="22"/>
          <w:szCs w:val="22"/>
        </w:rPr>
        <w:t>maintained</w:t>
      </w:r>
      <w:proofErr w:type="gramEnd"/>
      <w:r>
        <w:rPr>
          <w:color w:val="000000"/>
          <w:sz w:val="22"/>
          <w:szCs w:val="22"/>
        </w:rPr>
        <w:t xml:space="preserve"> and family life restored as soon as possible. </w:t>
      </w:r>
    </w:p>
    <w:p w14:paraId="00000031" w14:textId="77777777" w:rsidR="001A46E5" w:rsidRDefault="00F65B9D">
      <w:pPr>
        <w:numPr>
          <w:ilvl w:val="0"/>
          <w:numId w:val="1"/>
        </w:numPr>
        <w:pBdr>
          <w:top w:val="nil"/>
          <w:left w:val="nil"/>
          <w:bottom w:val="nil"/>
          <w:right w:val="nil"/>
          <w:between w:val="nil"/>
        </w:pBdr>
        <w:spacing w:line="276" w:lineRule="auto"/>
        <w:jc w:val="both"/>
        <w:rPr>
          <w:sz w:val="22"/>
          <w:szCs w:val="22"/>
        </w:rPr>
      </w:pPr>
      <w:r>
        <w:rPr>
          <w:b/>
          <w:color w:val="000000"/>
          <w:sz w:val="22"/>
          <w:szCs w:val="22"/>
        </w:rPr>
        <w:t xml:space="preserve">Prevent and avoid undermining the universal right of all children to live and grow up with a family based on situations of </w:t>
      </w:r>
      <w:r>
        <w:rPr>
          <w:color w:val="000000"/>
          <w:sz w:val="22"/>
          <w:szCs w:val="22"/>
        </w:rPr>
        <w:t>family crisis and breakdown. States m</w:t>
      </w:r>
      <w:r>
        <w:rPr>
          <w:color w:val="000000"/>
          <w:sz w:val="22"/>
          <w:szCs w:val="22"/>
        </w:rPr>
        <w:t>ust invest in emergency support systems for extended kinship or foster care so that any child without parental care or experiencing abuse in the home can be immediately placed in another family setting that is safe and adequate. Neither states of emergency</w:t>
      </w:r>
      <w:r>
        <w:rPr>
          <w:color w:val="000000"/>
          <w:sz w:val="22"/>
          <w:szCs w:val="22"/>
        </w:rPr>
        <w:t xml:space="preserve"> nor individual crisis placement decisions can be justified </w:t>
      </w:r>
      <w:proofErr w:type="gramStart"/>
      <w:r>
        <w:rPr>
          <w:color w:val="000000"/>
          <w:sz w:val="22"/>
          <w:szCs w:val="22"/>
        </w:rPr>
        <w:t>on the basis of</w:t>
      </w:r>
      <w:proofErr w:type="gramEnd"/>
      <w:r>
        <w:rPr>
          <w:color w:val="000000"/>
          <w:sz w:val="22"/>
          <w:szCs w:val="22"/>
        </w:rPr>
        <w:t xml:space="preserve"> disability or any other protected characteristic, in respect of the child or their primary caregiver. </w:t>
      </w:r>
    </w:p>
    <w:p w14:paraId="00000032" w14:textId="77777777" w:rsidR="001A46E5" w:rsidRDefault="00F65B9D">
      <w:pPr>
        <w:numPr>
          <w:ilvl w:val="0"/>
          <w:numId w:val="1"/>
        </w:numPr>
        <w:spacing w:line="276" w:lineRule="auto"/>
        <w:jc w:val="both"/>
        <w:rPr>
          <w:sz w:val="22"/>
          <w:szCs w:val="22"/>
        </w:rPr>
      </w:pPr>
      <w:r>
        <w:rPr>
          <w:b/>
          <w:color w:val="000000"/>
          <w:sz w:val="22"/>
          <w:szCs w:val="22"/>
        </w:rPr>
        <w:lastRenderedPageBreak/>
        <w:t>Prevent stigmatization and discrimination</w:t>
      </w:r>
      <w:r>
        <w:rPr>
          <w:color w:val="000000"/>
          <w:sz w:val="22"/>
          <w:szCs w:val="22"/>
        </w:rPr>
        <w:t xml:space="preserve"> of children </w:t>
      </w:r>
      <w:proofErr w:type="gramStart"/>
      <w:r>
        <w:rPr>
          <w:sz w:val="22"/>
          <w:szCs w:val="22"/>
        </w:rPr>
        <w:t>on the basis of</w:t>
      </w:r>
      <w:proofErr w:type="gramEnd"/>
      <w:r>
        <w:rPr>
          <w:color w:val="000000"/>
          <w:sz w:val="22"/>
          <w:szCs w:val="22"/>
        </w:rPr>
        <w:t xml:space="preserve"> disabil</w:t>
      </w:r>
      <w:r>
        <w:rPr>
          <w:color w:val="000000"/>
          <w:sz w:val="22"/>
          <w:szCs w:val="22"/>
        </w:rPr>
        <w:t>it</w:t>
      </w:r>
      <w:r>
        <w:rPr>
          <w:sz w:val="22"/>
          <w:szCs w:val="22"/>
        </w:rPr>
        <w:t>y</w:t>
      </w:r>
      <w:r>
        <w:rPr>
          <w:color w:val="000000"/>
          <w:sz w:val="22"/>
          <w:szCs w:val="22"/>
        </w:rPr>
        <w:t xml:space="preserve">, including by association, which are barriers to inclusion and </w:t>
      </w:r>
      <w:proofErr w:type="spellStart"/>
      <w:r>
        <w:rPr>
          <w:color w:val="000000"/>
          <w:sz w:val="22"/>
          <w:szCs w:val="22"/>
        </w:rPr>
        <w:t>deinstitutionalisation</w:t>
      </w:r>
      <w:proofErr w:type="spellEnd"/>
      <w:r>
        <w:rPr>
          <w:color w:val="000000"/>
          <w:sz w:val="22"/>
          <w:szCs w:val="22"/>
        </w:rPr>
        <w:t>. States should adopt awareness measures on the rights of persons with disabilities (CRPD article 8), with a particular focus on the rights of children with disabiliti</w:t>
      </w:r>
      <w:r>
        <w:rPr>
          <w:color w:val="000000"/>
          <w:sz w:val="22"/>
          <w:szCs w:val="22"/>
        </w:rPr>
        <w:t xml:space="preserve">es, including on the fact that children with disabilities have the same right to family life as all children. </w:t>
      </w:r>
    </w:p>
    <w:p w14:paraId="00000033" w14:textId="77777777" w:rsidR="001A46E5" w:rsidRDefault="00F65B9D">
      <w:pPr>
        <w:numPr>
          <w:ilvl w:val="0"/>
          <w:numId w:val="1"/>
        </w:numPr>
        <w:pBdr>
          <w:top w:val="nil"/>
          <w:left w:val="nil"/>
          <w:bottom w:val="nil"/>
          <w:right w:val="nil"/>
          <w:between w:val="nil"/>
        </w:pBdr>
        <w:spacing w:line="276" w:lineRule="auto"/>
        <w:jc w:val="both"/>
        <w:rPr>
          <w:sz w:val="22"/>
          <w:szCs w:val="22"/>
        </w:rPr>
      </w:pPr>
      <w:r>
        <w:rPr>
          <w:b/>
          <w:color w:val="000000"/>
          <w:sz w:val="22"/>
          <w:szCs w:val="22"/>
        </w:rPr>
        <w:t>Enhance accessibility</w:t>
      </w:r>
      <w:r>
        <w:rPr>
          <w:color w:val="000000"/>
          <w:sz w:val="22"/>
          <w:szCs w:val="22"/>
        </w:rPr>
        <w:t xml:space="preserve"> of the built environment, transportation, </w:t>
      </w:r>
      <w:proofErr w:type="gramStart"/>
      <w:r>
        <w:rPr>
          <w:color w:val="000000"/>
          <w:sz w:val="22"/>
          <w:szCs w:val="22"/>
        </w:rPr>
        <w:t>information</w:t>
      </w:r>
      <w:proofErr w:type="gramEnd"/>
      <w:r>
        <w:rPr>
          <w:color w:val="000000"/>
          <w:sz w:val="22"/>
          <w:szCs w:val="22"/>
        </w:rPr>
        <w:t xml:space="preserve"> and communication, in particular of mainstream community environments</w:t>
      </w:r>
      <w:r>
        <w:rPr>
          <w:color w:val="000000"/>
          <w:sz w:val="22"/>
          <w:szCs w:val="22"/>
        </w:rPr>
        <w:t xml:space="preserve">, including through universal design. Successful elimination of large and small institutions will require a long-term commitment to making communities accessible to people with disabilities throughout the </w:t>
      </w:r>
      <w:proofErr w:type="gramStart"/>
      <w:r>
        <w:rPr>
          <w:color w:val="000000"/>
          <w:sz w:val="22"/>
          <w:szCs w:val="22"/>
        </w:rPr>
        <w:t>life-cycle</w:t>
      </w:r>
      <w:proofErr w:type="gramEnd"/>
      <w:r>
        <w:rPr>
          <w:color w:val="000000"/>
          <w:sz w:val="22"/>
          <w:szCs w:val="22"/>
        </w:rPr>
        <w:t xml:space="preserve">.  </w:t>
      </w:r>
    </w:p>
    <w:p w14:paraId="00000034" w14:textId="77777777" w:rsidR="001A46E5" w:rsidRDefault="00F65B9D">
      <w:pPr>
        <w:numPr>
          <w:ilvl w:val="0"/>
          <w:numId w:val="1"/>
        </w:numPr>
        <w:pBdr>
          <w:top w:val="nil"/>
          <w:left w:val="nil"/>
          <w:bottom w:val="nil"/>
          <w:right w:val="nil"/>
          <w:between w:val="nil"/>
        </w:pBdr>
        <w:spacing w:line="276" w:lineRule="auto"/>
        <w:jc w:val="both"/>
        <w:rPr>
          <w:sz w:val="22"/>
          <w:szCs w:val="22"/>
        </w:rPr>
      </w:pPr>
      <w:r>
        <w:rPr>
          <w:b/>
          <w:color w:val="000000"/>
          <w:sz w:val="22"/>
          <w:szCs w:val="22"/>
        </w:rPr>
        <w:t>Enhance implementation of other human</w:t>
      </w:r>
      <w:r>
        <w:rPr>
          <w:b/>
          <w:color w:val="000000"/>
          <w:sz w:val="22"/>
          <w:szCs w:val="22"/>
        </w:rPr>
        <w:t xml:space="preserve"> rights of children to prevent recurring to institutionalization:</w:t>
      </w:r>
    </w:p>
    <w:p w14:paraId="00000035" w14:textId="77777777" w:rsidR="001A46E5" w:rsidRDefault="00F65B9D">
      <w:pPr>
        <w:numPr>
          <w:ilvl w:val="1"/>
          <w:numId w:val="1"/>
        </w:numPr>
        <w:pBdr>
          <w:top w:val="nil"/>
          <w:left w:val="nil"/>
          <w:bottom w:val="nil"/>
          <w:right w:val="nil"/>
          <w:between w:val="nil"/>
        </w:pBdr>
        <w:spacing w:line="276" w:lineRule="auto"/>
        <w:jc w:val="both"/>
        <w:rPr>
          <w:sz w:val="22"/>
          <w:szCs w:val="22"/>
        </w:rPr>
      </w:pPr>
      <w:r>
        <w:rPr>
          <w:b/>
          <w:sz w:val="22"/>
          <w:szCs w:val="22"/>
        </w:rPr>
        <w:t xml:space="preserve">Accessible, </w:t>
      </w:r>
      <w:proofErr w:type="gramStart"/>
      <w:r>
        <w:rPr>
          <w:b/>
          <w:sz w:val="22"/>
          <w:szCs w:val="22"/>
        </w:rPr>
        <w:t>affordable</w:t>
      </w:r>
      <w:proofErr w:type="gramEnd"/>
      <w:r>
        <w:rPr>
          <w:b/>
          <w:sz w:val="22"/>
          <w:szCs w:val="22"/>
        </w:rPr>
        <w:t xml:space="preserve"> and quality healthcare</w:t>
      </w:r>
      <w:r>
        <w:rPr>
          <w:sz w:val="22"/>
          <w:szCs w:val="22"/>
        </w:rPr>
        <w:t xml:space="preserve"> services play a vital role in facilitating social inclusion and supporting families. Inability to access healthcare services must never lead to </w:t>
      </w:r>
      <w:r>
        <w:rPr>
          <w:sz w:val="22"/>
          <w:szCs w:val="22"/>
        </w:rPr>
        <w:t>a child's separation from their family. States must act to ensure the right to health for all children with disabilities and support their families with access to integrated multidisciplinary healthcare.</w:t>
      </w:r>
    </w:p>
    <w:p w14:paraId="00000036" w14:textId="77777777" w:rsidR="001A46E5" w:rsidRDefault="00F65B9D">
      <w:pPr>
        <w:numPr>
          <w:ilvl w:val="1"/>
          <w:numId w:val="1"/>
        </w:numPr>
        <w:pBdr>
          <w:top w:val="nil"/>
          <w:left w:val="nil"/>
          <w:bottom w:val="nil"/>
          <w:right w:val="nil"/>
          <w:between w:val="nil"/>
        </w:pBdr>
        <w:spacing w:line="276" w:lineRule="auto"/>
        <w:jc w:val="both"/>
        <w:rPr>
          <w:sz w:val="22"/>
          <w:szCs w:val="22"/>
        </w:rPr>
      </w:pPr>
      <w:r>
        <w:rPr>
          <w:color w:val="000000"/>
          <w:sz w:val="22"/>
          <w:szCs w:val="22"/>
        </w:rPr>
        <w:t xml:space="preserve">Failure to provide all children with </w:t>
      </w:r>
      <w:r>
        <w:rPr>
          <w:b/>
          <w:color w:val="000000"/>
          <w:sz w:val="22"/>
          <w:szCs w:val="22"/>
        </w:rPr>
        <w:t>the right to inclusive education at all levels</w:t>
      </w:r>
      <w:r>
        <w:rPr>
          <w:color w:val="000000"/>
          <w:sz w:val="22"/>
          <w:szCs w:val="22"/>
        </w:rPr>
        <w:t>, in their communities, cannot justify the use of boarding schools and other forms of institutional care for the purpose of exercising the right to education.</w:t>
      </w:r>
    </w:p>
    <w:p w14:paraId="00000037" w14:textId="77777777" w:rsidR="001A46E5" w:rsidRDefault="00F65B9D">
      <w:pPr>
        <w:numPr>
          <w:ilvl w:val="0"/>
          <w:numId w:val="1"/>
        </w:numPr>
        <w:pBdr>
          <w:top w:val="nil"/>
          <w:left w:val="nil"/>
          <w:bottom w:val="nil"/>
          <w:right w:val="nil"/>
          <w:between w:val="nil"/>
        </w:pBdr>
        <w:spacing w:line="276" w:lineRule="auto"/>
        <w:jc w:val="both"/>
        <w:rPr>
          <w:color w:val="000000"/>
          <w:sz w:val="22"/>
          <w:szCs w:val="22"/>
        </w:rPr>
      </w:pPr>
      <w:r>
        <w:rPr>
          <w:b/>
          <w:color w:val="000000"/>
          <w:sz w:val="22"/>
          <w:szCs w:val="22"/>
        </w:rPr>
        <w:t>Ensure and facilitate the right to access justice</w:t>
      </w:r>
      <w:r>
        <w:rPr>
          <w:color w:val="000000"/>
          <w:sz w:val="22"/>
          <w:szCs w:val="22"/>
        </w:rPr>
        <w:t xml:space="preserve"> a</w:t>
      </w:r>
      <w:r>
        <w:rPr>
          <w:color w:val="000000"/>
          <w:sz w:val="22"/>
          <w:szCs w:val="22"/>
        </w:rPr>
        <w:t>nd to gain comprehensive redress and the right to be heard in all care-related decisions to all children who experience deprivation of their right to family life.</w:t>
      </w:r>
    </w:p>
    <w:p w14:paraId="00000038" w14:textId="77777777" w:rsidR="001A46E5" w:rsidRDefault="00F65B9D">
      <w:pPr>
        <w:numPr>
          <w:ilvl w:val="0"/>
          <w:numId w:val="1"/>
        </w:numPr>
        <w:spacing w:line="276" w:lineRule="auto"/>
        <w:jc w:val="both"/>
        <w:rPr>
          <w:sz w:val="22"/>
          <w:szCs w:val="22"/>
        </w:rPr>
      </w:pPr>
      <w:r>
        <w:rPr>
          <w:b/>
          <w:color w:val="222222"/>
          <w:sz w:val="22"/>
          <w:szCs w:val="22"/>
          <w:highlight w:val="white"/>
        </w:rPr>
        <w:t>Develop and ensure access to support services in the community, including personal assistance</w:t>
      </w:r>
      <w:r>
        <w:rPr>
          <w:b/>
          <w:color w:val="222222"/>
          <w:sz w:val="22"/>
          <w:szCs w:val="22"/>
          <w:highlight w:val="white"/>
        </w:rPr>
        <w:t>, as well as peer support, for young persons with disabilities in their transition to adulthood.</w:t>
      </w:r>
      <w:r>
        <w:rPr>
          <w:color w:val="222222"/>
          <w:sz w:val="22"/>
          <w:szCs w:val="22"/>
          <w:highlight w:val="white"/>
        </w:rPr>
        <w:t xml:space="preserve"> Young persons with disabilities must also be provided with opportunities to choose where and with whom to live, in line with Article 19 CRPD, and taking into c</w:t>
      </w:r>
      <w:r>
        <w:rPr>
          <w:color w:val="222222"/>
          <w:sz w:val="22"/>
          <w:szCs w:val="22"/>
          <w:highlight w:val="white"/>
        </w:rPr>
        <w:t>onsideration that independent living arrangements are defined in CRPD Committee General Comment No. 5 as “life settings outside residential institutions of all kinds”.</w:t>
      </w:r>
    </w:p>
    <w:p w14:paraId="00000039" w14:textId="77777777" w:rsidR="001A46E5" w:rsidRDefault="001A46E5">
      <w:pPr>
        <w:spacing w:line="276" w:lineRule="auto"/>
        <w:jc w:val="both"/>
        <w:rPr>
          <w:sz w:val="22"/>
          <w:szCs w:val="22"/>
        </w:rPr>
      </w:pPr>
    </w:p>
    <w:p w14:paraId="0000003A" w14:textId="77777777" w:rsidR="001A46E5" w:rsidRDefault="001A46E5">
      <w:pPr>
        <w:spacing w:line="276" w:lineRule="auto"/>
        <w:jc w:val="both"/>
        <w:rPr>
          <w:sz w:val="22"/>
          <w:szCs w:val="22"/>
        </w:rPr>
      </w:pPr>
    </w:p>
    <w:p w14:paraId="0000003B" w14:textId="77777777" w:rsidR="001A46E5" w:rsidRDefault="00F65B9D">
      <w:pPr>
        <w:spacing w:line="276" w:lineRule="auto"/>
        <w:jc w:val="both"/>
        <w:rPr>
          <w:b/>
          <w:sz w:val="22"/>
          <w:szCs w:val="22"/>
        </w:rPr>
      </w:pPr>
      <w:r>
        <w:rPr>
          <w:b/>
          <w:sz w:val="22"/>
          <w:szCs w:val="22"/>
        </w:rPr>
        <w:t>Signatories:</w:t>
      </w:r>
    </w:p>
    <w:p w14:paraId="0000003C" w14:textId="77777777" w:rsidR="001A46E5" w:rsidRDefault="001A46E5">
      <w:pPr>
        <w:spacing w:line="276" w:lineRule="auto"/>
        <w:jc w:val="both"/>
        <w:rPr>
          <w:sz w:val="22"/>
          <w:szCs w:val="22"/>
        </w:rPr>
        <w:sectPr w:rsidR="001A46E5">
          <w:footerReference w:type="even" r:id="rId19"/>
          <w:footerReference w:type="default" r:id="rId20"/>
          <w:pgSz w:w="12240" w:h="15840"/>
          <w:pgMar w:top="1440" w:right="1440" w:bottom="1440" w:left="1440" w:header="720" w:footer="720" w:gutter="0"/>
          <w:pgNumType w:start="1"/>
          <w:cols w:space="720"/>
        </w:sectPr>
      </w:pPr>
    </w:p>
    <w:p w14:paraId="0000003D" w14:textId="77777777" w:rsidR="001A46E5" w:rsidRDefault="00F65B9D">
      <w:pPr>
        <w:spacing w:line="276" w:lineRule="auto"/>
        <w:jc w:val="both"/>
        <w:rPr>
          <w:color w:val="222222"/>
          <w:sz w:val="22"/>
          <w:szCs w:val="22"/>
          <w:highlight w:val="white"/>
        </w:rPr>
      </w:pPr>
      <w:r>
        <w:rPr>
          <w:color w:val="222222"/>
          <w:sz w:val="22"/>
          <w:szCs w:val="22"/>
          <w:highlight w:val="white"/>
        </w:rPr>
        <w:t>Autism Europe</w:t>
      </w:r>
    </w:p>
    <w:p w14:paraId="0000003E" w14:textId="77777777" w:rsidR="001A46E5" w:rsidRDefault="00F65B9D">
      <w:pPr>
        <w:spacing w:line="276" w:lineRule="auto"/>
        <w:jc w:val="both"/>
        <w:rPr>
          <w:color w:val="222222"/>
          <w:sz w:val="22"/>
          <w:szCs w:val="22"/>
          <w:highlight w:val="white"/>
        </w:rPr>
      </w:pPr>
      <w:r>
        <w:rPr>
          <w:color w:val="222222"/>
          <w:sz w:val="22"/>
          <w:szCs w:val="22"/>
          <w:highlight w:val="white"/>
        </w:rPr>
        <w:t>Disability Rights International</w:t>
      </w:r>
    </w:p>
    <w:p w14:paraId="0000003F" w14:textId="77777777" w:rsidR="001A46E5" w:rsidRDefault="00F65B9D">
      <w:pPr>
        <w:spacing w:line="276" w:lineRule="auto"/>
        <w:jc w:val="both"/>
        <w:rPr>
          <w:color w:val="222222"/>
          <w:sz w:val="22"/>
          <w:szCs w:val="22"/>
          <w:highlight w:val="white"/>
        </w:rPr>
      </w:pPr>
      <w:r>
        <w:rPr>
          <w:color w:val="222222"/>
          <w:sz w:val="22"/>
          <w:szCs w:val="22"/>
          <w:highlight w:val="white"/>
        </w:rPr>
        <w:t>ENIL - European Network for Independent Living</w:t>
      </w:r>
    </w:p>
    <w:p w14:paraId="00000040" w14:textId="77777777" w:rsidR="001A46E5" w:rsidRDefault="00F65B9D">
      <w:pPr>
        <w:spacing w:line="276" w:lineRule="auto"/>
        <w:jc w:val="both"/>
        <w:rPr>
          <w:color w:val="222222"/>
          <w:sz w:val="22"/>
          <w:szCs w:val="22"/>
          <w:highlight w:val="white"/>
        </w:rPr>
      </w:pPr>
      <w:r>
        <w:rPr>
          <w:color w:val="222222"/>
          <w:sz w:val="22"/>
          <w:szCs w:val="22"/>
          <w:highlight w:val="white"/>
        </w:rPr>
        <w:t>Inclusion International</w:t>
      </w:r>
    </w:p>
    <w:p w14:paraId="00000041" w14:textId="77777777" w:rsidR="001A46E5" w:rsidRDefault="00F65B9D">
      <w:pPr>
        <w:spacing w:line="276" w:lineRule="auto"/>
        <w:jc w:val="both"/>
        <w:rPr>
          <w:color w:val="222222"/>
          <w:sz w:val="22"/>
          <w:szCs w:val="22"/>
          <w:highlight w:val="white"/>
        </w:rPr>
      </w:pPr>
      <w:r>
        <w:rPr>
          <w:color w:val="222222"/>
          <w:sz w:val="22"/>
          <w:szCs w:val="22"/>
          <w:highlight w:val="white"/>
        </w:rPr>
        <w:t>International Disability Alliance</w:t>
      </w:r>
    </w:p>
    <w:p w14:paraId="00000042" w14:textId="77777777" w:rsidR="001A46E5" w:rsidRDefault="00F65B9D">
      <w:pPr>
        <w:spacing w:line="276" w:lineRule="auto"/>
        <w:jc w:val="both"/>
        <w:rPr>
          <w:color w:val="222222"/>
          <w:sz w:val="22"/>
          <w:szCs w:val="22"/>
          <w:highlight w:val="white"/>
        </w:rPr>
      </w:pPr>
      <w:r>
        <w:rPr>
          <w:color w:val="222222"/>
          <w:sz w:val="22"/>
          <w:szCs w:val="22"/>
          <w:highlight w:val="white"/>
        </w:rPr>
        <w:t>International Federation for Spina Bifida and Hydrocephalus (IF)</w:t>
      </w:r>
    </w:p>
    <w:p w14:paraId="00000043" w14:textId="77777777" w:rsidR="001A46E5" w:rsidRDefault="00F65B9D">
      <w:pPr>
        <w:spacing w:line="276" w:lineRule="auto"/>
        <w:jc w:val="both"/>
        <w:rPr>
          <w:color w:val="222222"/>
          <w:sz w:val="22"/>
          <w:szCs w:val="22"/>
          <w:highlight w:val="white"/>
        </w:rPr>
      </w:pPr>
      <w:r>
        <w:rPr>
          <w:color w:val="222222"/>
          <w:sz w:val="22"/>
          <w:szCs w:val="22"/>
          <w:highlight w:val="white"/>
        </w:rPr>
        <w:t>Validity Foundation</w:t>
      </w:r>
    </w:p>
    <w:p w14:paraId="00000044" w14:textId="77777777" w:rsidR="001A46E5" w:rsidRDefault="00F65B9D">
      <w:pPr>
        <w:spacing w:line="276" w:lineRule="auto"/>
        <w:jc w:val="both"/>
        <w:rPr>
          <w:color w:val="222222"/>
          <w:sz w:val="22"/>
          <w:szCs w:val="22"/>
          <w:highlight w:val="white"/>
        </w:rPr>
      </w:pPr>
      <w:r>
        <w:rPr>
          <w:color w:val="222222"/>
          <w:sz w:val="22"/>
          <w:szCs w:val="22"/>
          <w:highlight w:val="white"/>
        </w:rPr>
        <w:t>Women Enabled International</w:t>
      </w:r>
    </w:p>
    <w:p w14:paraId="00000045" w14:textId="77777777" w:rsidR="001A46E5" w:rsidRDefault="00F65B9D">
      <w:pPr>
        <w:spacing w:line="276" w:lineRule="auto"/>
        <w:jc w:val="both"/>
        <w:rPr>
          <w:color w:val="222222"/>
          <w:sz w:val="22"/>
          <w:szCs w:val="22"/>
          <w:highlight w:val="white"/>
        </w:rPr>
      </w:pPr>
      <w:r>
        <w:rPr>
          <w:color w:val="222222"/>
          <w:sz w:val="22"/>
          <w:szCs w:val="22"/>
          <w:highlight w:val="white"/>
        </w:rPr>
        <w:t>U.S. I</w:t>
      </w:r>
      <w:r>
        <w:rPr>
          <w:color w:val="222222"/>
          <w:sz w:val="22"/>
          <w:szCs w:val="22"/>
          <w:highlight w:val="white"/>
        </w:rPr>
        <w:t>nternational Council on Disabilities</w:t>
      </w:r>
    </w:p>
    <w:p w14:paraId="00000046" w14:textId="77777777" w:rsidR="001A46E5" w:rsidRDefault="00F65B9D">
      <w:pPr>
        <w:spacing w:line="276" w:lineRule="auto"/>
        <w:jc w:val="both"/>
        <w:rPr>
          <w:color w:val="222222"/>
          <w:sz w:val="22"/>
          <w:szCs w:val="22"/>
          <w:highlight w:val="white"/>
        </w:rPr>
      </w:pPr>
      <w:proofErr w:type="spellStart"/>
      <w:r>
        <w:rPr>
          <w:color w:val="222222"/>
          <w:sz w:val="22"/>
          <w:szCs w:val="22"/>
          <w:highlight w:val="white"/>
        </w:rPr>
        <w:t>Stahili</w:t>
      </w:r>
      <w:proofErr w:type="spellEnd"/>
    </w:p>
    <w:p w14:paraId="00000047" w14:textId="77777777" w:rsidR="001A46E5" w:rsidRDefault="00F65B9D">
      <w:pPr>
        <w:rPr>
          <w:color w:val="222222"/>
          <w:sz w:val="22"/>
          <w:szCs w:val="22"/>
          <w:highlight w:val="white"/>
        </w:rPr>
        <w:sectPr w:rsidR="001A46E5">
          <w:type w:val="continuous"/>
          <w:pgSz w:w="12240" w:h="15840"/>
          <w:pgMar w:top="1440" w:right="1440" w:bottom="1440" w:left="1440" w:header="720" w:footer="720" w:gutter="0"/>
          <w:pgNumType w:start="1"/>
          <w:cols w:num="2" w:space="720" w:equalWidth="0">
            <w:col w:w="4320" w:space="720"/>
            <w:col w:w="4320" w:space="0"/>
          </w:cols>
        </w:sectPr>
      </w:pPr>
      <w:r>
        <w:rPr>
          <w:color w:val="222222"/>
          <w:sz w:val="22"/>
          <w:szCs w:val="22"/>
          <w:highlight w:val="white"/>
        </w:rPr>
        <w:t xml:space="preserve">Lori E. </w:t>
      </w:r>
      <w:proofErr w:type="spellStart"/>
      <w:r>
        <w:rPr>
          <w:color w:val="222222"/>
          <w:sz w:val="22"/>
          <w:szCs w:val="22"/>
          <w:highlight w:val="white"/>
        </w:rPr>
        <w:t>Talsky</w:t>
      </w:r>
      <w:proofErr w:type="spellEnd"/>
      <w:r>
        <w:rPr>
          <w:color w:val="222222"/>
          <w:sz w:val="22"/>
          <w:szCs w:val="22"/>
          <w:highlight w:val="white"/>
        </w:rPr>
        <w:t xml:space="preserve"> Center for Human Rights of Women and Children at Michigan State University College of Law</w:t>
      </w:r>
    </w:p>
    <w:p w14:paraId="00000048" w14:textId="77777777" w:rsidR="001A46E5" w:rsidRDefault="001A46E5">
      <w:pPr>
        <w:spacing w:line="276" w:lineRule="auto"/>
        <w:jc w:val="both"/>
        <w:rPr>
          <w:color w:val="222222"/>
          <w:sz w:val="22"/>
          <w:szCs w:val="22"/>
          <w:highlight w:val="white"/>
        </w:rPr>
      </w:pPr>
    </w:p>
    <w:p w14:paraId="00000049" w14:textId="77777777" w:rsidR="001A46E5" w:rsidRDefault="00F65B9D">
      <w:pPr>
        <w:spacing w:line="276" w:lineRule="auto"/>
        <w:jc w:val="both"/>
        <w:rPr>
          <w:b/>
          <w:color w:val="222222"/>
          <w:sz w:val="22"/>
          <w:szCs w:val="22"/>
          <w:highlight w:val="white"/>
        </w:rPr>
      </w:pPr>
      <w:r>
        <w:rPr>
          <w:b/>
          <w:color w:val="222222"/>
          <w:sz w:val="22"/>
          <w:szCs w:val="22"/>
          <w:highlight w:val="white"/>
        </w:rPr>
        <w:t>Co-signatories:</w:t>
      </w:r>
    </w:p>
    <w:p w14:paraId="0000004A" w14:textId="77777777" w:rsidR="001A46E5" w:rsidRDefault="001A46E5">
      <w:pPr>
        <w:spacing w:line="276" w:lineRule="auto"/>
        <w:jc w:val="both"/>
        <w:rPr>
          <w:color w:val="222222"/>
          <w:sz w:val="22"/>
          <w:szCs w:val="22"/>
          <w:highlight w:val="white"/>
        </w:rPr>
      </w:pPr>
    </w:p>
    <w:p w14:paraId="0000004B" w14:textId="77777777" w:rsidR="001A46E5" w:rsidRDefault="001A46E5">
      <w:pPr>
        <w:spacing w:line="276" w:lineRule="auto"/>
        <w:jc w:val="both"/>
        <w:rPr>
          <w:rFonts w:ascii="Arial" w:eastAsia="Arial" w:hAnsi="Arial" w:cs="Arial"/>
          <w:sz w:val="20"/>
          <w:szCs w:val="20"/>
        </w:rPr>
        <w:sectPr w:rsidR="001A46E5">
          <w:footerReference w:type="default" r:id="rId21"/>
          <w:type w:val="continuous"/>
          <w:pgSz w:w="12240" w:h="15840"/>
          <w:pgMar w:top="1440" w:right="1440" w:bottom="1440" w:left="1440" w:header="720" w:footer="720" w:gutter="0"/>
          <w:cols w:space="720"/>
        </w:sectPr>
      </w:pPr>
    </w:p>
    <w:p w14:paraId="0000004C"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Amal Alliance</w:t>
      </w:r>
    </w:p>
    <w:p w14:paraId="0000004D"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Asociación</w:t>
      </w:r>
      <w:proofErr w:type="spellEnd"/>
      <w:r>
        <w:rPr>
          <w:rFonts w:ascii="Arial" w:eastAsia="Arial" w:hAnsi="Arial" w:cs="Arial"/>
          <w:color w:val="000000"/>
          <w:sz w:val="20"/>
          <w:szCs w:val="20"/>
        </w:rPr>
        <w:t xml:space="preserve"> Azul</w:t>
      </w:r>
    </w:p>
    <w:p w14:paraId="0000004E"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ASTRA Anti-trafficking Action</w:t>
      </w:r>
    </w:p>
    <w:p w14:paraId="0000004F"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Autistic Minority International</w:t>
      </w:r>
    </w:p>
    <w:p w14:paraId="00000050"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rPr>
        <w:t>Belgrade Centre for Human Rights</w:t>
      </w:r>
    </w:p>
    <w:p w14:paraId="00000051" w14:textId="77777777" w:rsidR="001A46E5" w:rsidRDefault="00F65B9D">
      <w:pPr>
        <w:spacing w:line="276" w:lineRule="auto"/>
        <w:jc w:val="both"/>
        <w:rPr>
          <w:color w:val="222222"/>
          <w:sz w:val="22"/>
          <w:szCs w:val="22"/>
          <w:highlight w:val="white"/>
        </w:rPr>
      </w:pPr>
      <w:r>
        <w:rPr>
          <w:rFonts w:ascii="Arial" w:eastAsia="Arial" w:hAnsi="Arial" w:cs="Arial"/>
          <w:color w:val="000000"/>
          <w:sz w:val="20"/>
          <w:szCs w:val="20"/>
        </w:rPr>
        <w:t>Bina Foundation Nigeria</w:t>
      </w:r>
    </w:p>
    <w:p w14:paraId="00000052"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Candle of Hope Foundation</w:t>
      </w:r>
    </w:p>
    <w:p w14:paraId="00000053"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Center for Inclusive Policy</w:t>
      </w:r>
    </w:p>
    <w:p w14:paraId="00000054"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rPr>
        <w:t>Center for Public Representation</w:t>
      </w:r>
    </w:p>
    <w:p w14:paraId="00000055"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Centre for Independent Living - Sofia, Bulgaria</w:t>
      </w:r>
    </w:p>
    <w:p w14:paraId="00000056"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highlight w:val="white"/>
        </w:rPr>
        <w:t>Center for Outcome Analysis</w:t>
      </w:r>
    </w:p>
    <w:p w14:paraId="00000057"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Centre Living Upright</w:t>
      </w:r>
    </w:p>
    <w:p w14:paraId="00000058"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Child Rights Centre</w:t>
      </w:r>
    </w:p>
    <w:p w14:paraId="00000059"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highlight w:val="white"/>
        </w:rPr>
        <w:t xml:space="preserve">Coalition for monitoring child rights in Serbia (Child Rights Centre, </w:t>
      </w:r>
      <w:proofErr w:type="spellStart"/>
      <w:r>
        <w:rPr>
          <w:rFonts w:ascii="Arial" w:eastAsia="Arial" w:hAnsi="Arial" w:cs="Arial"/>
          <w:sz w:val="20"/>
          <w:szCs w:val="20"/>
          <w:highlight w:val="white"/>
        </w:rPr>
        <w:t>Užice</w:t>
      </w:r>
      <w:proofErr w:type="spellEnd"/>
      <w:r>
        <w:rPr>
          <w:rFonts w:ascii="Arial" w:eastAsia="Arial" w:hAnsi="Arial" w:cs="Arial"/>
          <w:sz w:val="20"/>
          <w:szCs w:val="20"/>
          <w:highlight w:val="white"/>
        </w:rPr>
        <w:t xml:space="preserve"> Child Rights Centre, Belgrade Centre for Human Rights, ASTRA —</w:t>
      </w:r>
      <w:r>
        <w:rPr>
          <w:rFonts w:ascii="Arial" w:eastAsia="Arial" w:hAnsi="Arial" w:cs="Arial"/>
          <w:sz w:val="20"/>
          <w:szCs w:val="20"/>
          <w:highlight w:val="white"/>
        </w:rPr>
        <w:t xml:space="preserve"> Anti Trafficking Action and Center for Social Policy)</w:t>
      </w:r>
    </w:p>
    <w:p w14:paraId="0000005A"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Colectivo</w:t>
      </w:r>
      <w:proofErr w:type="spellEnd"/>
      <w:r>
        <w:rPr>
          <w:rFonts w:ascii="Arial" w:eastAsia="Arial" w:hAnsi="Arial" w:cs="Arial"/>
          <w:color w:val="000000"/>
          <w:sz w:val="20"/>
          <w:szCs w:val="20"/>
        </w:rPr>
        <w:t xml:space="preserve"> Vida Independiente de Guatemala</w:t>
      </w:r>
    </w:p>
    <w:p w14:paraId="0000005B"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Collective Impact</w:t>
      </w:r>
    </w:p>
    <w:p w14:paraId="0000005C"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rPr>
        <w:t>Congo Handicap</w:t>
      </w:r>
    </w:p>
    <w:p w14:paraId="0000005D" w14:textId="77777777" w:rsidR="001A46E5" w:rsidRDefault="00F65B9D">
      <w:pPr>
        <w:spacing w:line="276" w:lineRule="auto"/>
        <w:jc w:val="both"/>
        <w:rPr>
          <w:rFonts w:ascii="Arial" w:eastAsia="Arial" w:hAnsi="Arial" w:cs="Arial"/>
          <w:sz w:val="20"/>
          <w:szCs w:val="20"/>
        </w:rPr>
      </w:pPr>
      <w:r>
        <w:rPr>
          <w:rFonts w:ascii="Arial" w:eastAsia="Arial" w:hAnsi="Arial" w:cs="Arial"/>
          <w:color w:val="000000"/>
          <w:sz w:val="20"/>
          <w:szCs w:val="20"/>
        </w:rPr>
        <w:t xml:space="preserve">Disability Law and Policy Program of Syracuse University </w:t>
      </w:r>
      <w:r>
        <w:rPr>
          <w:rFonts w:ascii="Arial" w:eastAsia="Arial" w:hAnsi="Arial" w:cs="Arial"/>
          <w:sz w:val="20"/>
          <w:szCs w:val="20"/>
        </w:rPr>
        <w:t>College of Law</w:t>
      </w:r>
    </w:p>
    <w:p w14:paraId="0000005E"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highlight w:val="white"/>
        </w:rPr>
        <w:t>"Disability Rights Agenda" NGO - Armenia</w:t>
      </w:r>
    </w:p>
    <w:p w14:paraId="0000005F"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Disabled Peop</w:t>
      </w:r>
      <w:r>
        <w:rPr>
          <w:rFonts w:ascii="Arial" w:eastAsia="Arial" w:hAnsi="Arial" w:cs="Arial"/>
          <w:color w:val="000000"/>
          <w:sz w:val="20"/>
          <w:szCs w:val="20"/>
        </w:rPr>
        <w:t>les' International Europe DPI-E</w:t>
      </w:r>
    </w:p>
    <w:p w14:paraId="00000060" w14:textId="77777777" w:rsidR="001A46E5" w:rsidRDefault="00F65B9D">
      <w:pPr>
        <w:spacing w:line="276" w:lineRule="auto"/>
        <w:jc w:val="both"/>
        <w:rPr>
          <w:color w:val="222222"/>
          <w:sz w:val="22"/>
          <w:szCs w:val="22"/>
          <w:highlight w:val="white"/>
        </w:rPr>
      </w:pPr>
      <w:r>
        <w:rPr>
          <w:rFonts w:ascii="Arial" w:eastAsia="Arial" w:hAnsi="Arial" w:cs="Arial"/>
          <w:color w:val="000000"/>
          <w:sz w:val="20"/>
          <w:szCs w:val="20"/>
        </w:rPr>
        <w:t>DRRA</w:t>
      </w:r>
    </w:p>
    <w:p w14:paraId="00000061" w14:textId="77777777" w:rsidR="001A46E5" w:rsidRDefault="00F65B9D">
      <w:pPr>
        <w:spacing w:line="276" w:lineRule="auto"/>
        <w:jc w:val="both"/>
        <w:rPr>
          <w:color w:val="222222"/>
          <w:sz w:val="22"/>
          <w:szCs w:val="22"/>
          <w:highlight w:val="white"/>
        </w:rPr>
      </w:pPr>
      <w:proofErr w:type="spellStart"/>
      <w:r>
        <w:rPr>
          <w:rFonts w:ascii="Arial" w:eastAsia="Arial" w:hAnsi="Arial" w:cs="Arial"/>
          <w:color w:val="000000"/>
          <w:sz w:val="20"/>
          <w:szCs w:val="20"/>
        </w:rPr>
        <w:t>Educom</w:t>
      </w:r>
      <w:proofErr w:type="spellEnd"/>
      <w:r>
        <w:rPr>
          <w:rFonts w:ascii="Arial" w:eastAsia="Arial" w:hAnsi="Arial" w:cs="Arial"/>
          <w:color w:val="000000"/>
          <w:sz w:val="20"/>
          <w:szCs w:val="20"/>
        </w:rPr>
        <w:t>+ (The community for the plus in education)</w:t>
      </w:r>
    </w:p>
    <w:p w14:paraId="00000062"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Family </w:t>
      </w:r>
      <w:proofErr w:type="spellStart"/>
      <w:r>
        <w:rPr>
          <w:rFonts w:ascii="Arial" w:eastAsia="Arial" w:hAnsi="Arial" w:cs="Arial"/>
          <w:color w:val="000000"/>
          <w:sz w:val="20"/>
          <w:szCs w:val="20"/>
        </w:rPr>
        <w:t>Kolping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Prykarpattya</w:t>
      </w:r>
      <w:proofErr w:type="spellEnd"/>
    </w:p>
    <w:p w14:paraId="00000063" w14:textId="77777777" w:rsidR="001A46E5" w:rsidRDefault="00F65B9D">
      <w:pPr>
        <w:spacing w:line="276" w:lineRule="auto"/>
        <w:jc w:val="both"/>
        <w:rPr>
          <w:rFonts w:ascii="Arial" w:eastAsia="Arial" w:hAnsi="Arial" w:cs="Arial"/>
          <w:sz w:val="20"/>
          <w:szCs w:val="20"/>
        </w:rPr>
      </w:pPr>
      <w:r>
        <w:rPr>
          <w:rFonts w:ascii="Roboto" w:eastAsia="Roboto" w:hAnsi="Roboto" w:cs="Roboto"/>
          <w:sz w:val="20"/>
          <w:szCs w:val="20"/>
          <w:highlight w:val="white"/>
        </w:rPr>
        <w:t xml:space="preserve">Fédération </w:t>
      </w:r>
      <w:proofErr w:type="spellStart"/>
      <w:r>
        <w:rPr>
          <w:rFonts w:ascii="Roboto" w:eastAsia="Roboto" w:hAnsi="Roboto" w:cs="Roboto"/>
          <w:sz w:val="20"/>
          <w:szCs w:val="20"/>
          <w:highlight w:val="white"/>
        </w:rPr>
        <w:t>Togolaise</w:t>
      </w:r>
      <w:proofErr w:type="spellEnd"/>
      <w:r>
        <w:rPr>
          <w:rFonts w:ascii="Roboto" w:eastAsia="Roboto" w:hAnsi="Roboto" w:cs="Roboto"/>
          <w:sz w:val="20"/>
          <w:szCs w:val="20"/>
          <w:highlight w:val="white"/>
        </w:rPr>
        <w:t xml:space="preserve"> des Associations de </w:t>
      </w:r>
      <w:proofErr w:type="spellStart"/>
      <w:r>
        <w:rPr>
          <w:rFonts w:ascii="Roboto" w:eastAsia="Roboto" w:hAnsi="Roboto" w:cs="Roboto"/>
          <w:sz w:val="20"/>
          <w:szCs w:val="20"/>
          <w:highlight w:val="white"/>
        </w:rPr>
        <w:t>Personnes</w:t>
      </w:r>
      <w:proofErr w:type="spellEnd"/>
      <w:r>
        <w:rPr>
          <w:rFonts w:ascii="Roboto" w:eastAsia="Roboto" w:hAnsi="Roboto" w:cs="Roboto"/>
          <w:sz w:val="20"/>
          <w:szCs w:val="20"/>
          <w:highlight w:val="white"/>
        </w:rPr>
        <w:t xml:space="preserve"> </w:t>
      </w:r>
      <w:proofErr w:type="spellStart"/>
      <w:r>
        <w:rPr>
          <w:rFonts w:ascii="Roboto" w:eastAsia="Roboto" w:hAnsi="Roboto" w:cs="Roboto"/>
          <w:sz w:val="20"/>
          <w:szCs w:val="20"/>
          <w:highlight w:val="white"/>
        </w:rPr>
        <w:t>Handicapées</w:t>
      </w:r>
      <w:proofErr w:type="spellEnd"/>
      <w:r>
        <w:rPr>
          <w:rFonts w:ascii="Roboto" w:eastAsia="Roboto" w:hAnsi="Roboto" w:cs="Roboto"/>
          <w:sz w:val="20"/>
          <w:szCs w:val="20"/>
          <w:highlight w:val="white"/>
        </w:rPr>
        <w:t xml:space="preserve"> (FETAPH)</w:t>
      </w:r>
    </w:p>
    <w:p w14:paraId="00000064"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FemPlatz</w:t>
      </w:r>
      <w:proofErr w:type="spellEnd"/>
    </w:p>
    <w:p w14:paraId="00000065"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Fundacion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transformar</w:t>
      </w:r>
      <w:proofErr w:type="spellEnd"/>
      <w:r>
        <w:rPr>
          <w:rFonts w:ascii="Arial" w:eastAsia="Arial" w:hAnsi="Arial" w:cs="Arial"/>
          <w:color w:val="000000"/>
          <w:sz w:val="20"/>
          <w:szCs w:val="20"/>
        </w:rPr>
        <w:t xml:space="preserve"> es </w:t>
      </w:r>
      <w:proofErr w:type="spellStart"/>
      <w:r>
        <w:rPr>
          <w:rFonts w:ascii="Arial" w:eastAsia="Arial" w:hAnsi="Arial" w:cs="Arial"/>
          <w:color w:val="000000"/>
          <w:sz w:val="20"/>
          <w:szCs w:val="20"/>
        </w:rPr>
        <w:t>preciso</w:t>
      </w:r>
      <w:proofErr w:type="spellEnd"/>
    </w:p>
    <w:p w14:paraId="00000066"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Fundația</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Abilitare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Spera</w:t>
      </w:r>
      <w:r>
        <w:rPr>
          <w:rFonts w:ascii="Arial" w:eastAsia="Arial" w:hAnsi="Arial" w:cs="Arial"/>
          <w:color w:val="000000"/>
          <w:sz w:val="20"/>
          <w:szCs w:val="20"/>
        </w:rPr>
        <w:t>nța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Timișoara</w:t>
      </w:r>
      <w:proofErr w:type="spellEnd"/>
    </w:p>
    <w:p w14:paraId="00000067" w14:textId="77777777" w:rsidR="001A46E5" w:rsidRDefault="00F65B9D">
      <w:pPr>
        <w:spacing w:line="276" w:lineRule="auto"/>
        <w:jc w:val="both"/>
        <w:rPr>
          <w:rFonts w:ascii="Arial" w:eastAsia="Arial" w:hAnsi="Arial" w:cs="Arial"/>
          <w:sz w:val="20"/>
          <w:szCs w:val="20"/>
        </w:rPr>
      </w:pPr>
      <w:proofErr w:type="spellStart"/>
      <w:r>
        <w:rPr>
          <w:rFonts w:ascii="Arial" w:eastAsia="Arial" w:hAnsi="Arial" w:cs="Arial"/>
          <w:sz w:val="20"/>
          <w:szCs w:val="20"/>
          <w:highlight w:val="white"/>
        </w:rPr>
        <w:t>GatherBuildWork</w:t>
      </w:r>
      <w:proofErr w:type="spellEnd"/>
    </w:p>
    <w:p w14:paraId="00000068"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Georgian Academy of Childhood Disability</w:t>
      </w:r>
    </w:p>
    <w:p w14:paraId="00000069"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GERAKAN PEDULI DISABILITAS DAN LEPRA INDONESIA (GPDLI)</w:t>
      </w:r>
    </w:p>
    <w:p w14:paraId="0000006A"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Global Campaign for Education</w:t>
      </w:r>
    </w:p>
    <w:p w14:paraId="0000006B"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Global Campaign for Education-US</w:t>
      </w:r>
    </w:p>
    <w:p w14:paraId="0000006C"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GlobalPartnersUnited</w:t>
      </w:r>
      <w:proofErr w:type="spellEnd"/>
    </w:p>
    <w:p w14:paraId="0000006D"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Home Free</w:t>
      </w:r>
    </w:p>
    <w:p w14:paraId="0000006E" w14:textId="77777777" w:rsidR="001A46E5" w:rsidRDefault="00F65B9D">
      <w:pPr>
        <w:spacing w:line="276" w:lineRule="auto"/>
        <w:jc w:val="both"/>
        <w:rPr>
          <w:rFonts w:ascii="Arial" w:eastAsia="Arial" w:hAnsi="Arial" w:cs="Arial"/>
          <w:sz w:val="20"/>
          <w:szCs w:val="20"/>
        </w:rPr>
      </w:pPr>
      <w:proofErr w:type="spellStart"/>
      <w:r>
        <w:rPr>
          <w:rFonts w:ascii="Arial" w:eastAsia="Arial" w:hAnsi="Arial" w:cs="Arial"/>
          <w:sz w:val="20"/>
          <w:szCs w:val="20"/>
          <w:highlight w:val="white"/>
        </w:rPr>
        <w:t>i</w:t>
      </w:r>
      <w:proofErr w:type="spellEnd"/>
      <w:r>
        <w:rPr>
          <w:rFonts w:ascii="Arial" w:eastAsia="Arial" w:hAnsi="Arial" w:cs="Arial"/>
          <w:sz w:val="20"/>
          <w:szCs w:val="20"/>
          <w:highlight w:val="white"/>
        </w:rPr>
        <w:t>-living - the Independent Living O</w:t>
      </w:r>
      <w:r>
        <w:rPr>
          <w:rFonts w:ascii="Arial" w:eastAsia="Arial" w:hAnsi="Arial" w:cs="Arial"/>
          <w:sz w:val="20"/>
          <w:szCs w:val="20"/>
          <w:highlight w:val="white"/>
        </w:rPr>
        <w:t xml:space="preserve">rganization of Greece </w:t>
      </w:r>
    </w:p>
    <w:p w14:paraId="0000006F" w14:textId="77777777" w:rsidR="001A46E5" w:rsidRDefault="00F65B9D">
      <w:pPr>
        <w:spacing w:line="276" w:lineRule="auto"/>
        <w:jc w:val="both"/>
        <w:rPr>
          <w:rFonts w:ascii="Arial" w:eastAsia="Arial" w:hAnsi="Arial" w:cs="Arial"/>
          <w:color w:val="222222"/>
          <w:sz w:val="20"/>
          <w:szCs w:val="20"/>
          <w:highlight w:val="white"/>
        </w:rPr>
      </w:pPr>
      <w:r>
        <w:rPr>
          <w:rFonts w:ascii="Arial" w:eastAsia="Arial" w:hAnsi="Arial" w:cs="Arial"/>
          <w:color w:val="000000"/>
          <w:sz w:val="20"/>
          <w:szCs w:val="20"/>
        </w:rPr>
        <w:t>International Charity Partnership for Every Child</w:t>
      </w:r>
    </w:p>
    <w:p w14:paraId="00000070" w14:textId="77777777" w:rsidR="001A46E5" w:rsidRDefault="00F65B9D">
      <w:pPr>
        <w:spacing w:line="276" w:lineRule="auto"/>
        <w:jc w:val="both"/>
        <w:rPr>
          <w:rFonts w:ascii="Arial" w:eastAsia="Arial" w:hAnsi="Arial" w:cs="Arial"/>
          <w:color w:val="222222"/>
          <w:sz w:val="20"/>
          <w:szCs w:val="20"/>
          <w:highlight w:val="white"/>
        </w:rPr>
      </w:pPr>
      <w:r>
        <w:rPr>
          <w:rFonts w:ascii="Arial" w:eastAsia="Arial" w:hAnsi="Arial" w:cs="Arial"/>
          <w:color w:val="000000"/>
          <w:sz w:val="20"/>
          <w:szCs w:val="20"/>
        </w:rPr>
        <w:t>Keepers of the Circle</w:t>
      </w:r>
    </w:p>
    <w:p w14:paraId="00000071"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Korean Disability Forum</w:t>
      </w:r>
    </w:p>
    <w:p w14:paraId="00000072" w14:textId="77777777" w:rsidR="001A46E5" w:rsidRDefault="00F65B9D">
      <w:pPr>
        <w:spacing w:line="276" w:lineRule="auto"/>
        <w:jc w:val="both"/>
        <w:rPr>
          <w:rFonts w:ascii="Arial" w:eastAsia="Arial" w:hAnsi="Arial" w:cs="Arial"/>
          <w:sz w:val="20"/>
          <w:szCs w:val="20"/>
          <w:highlight w:val="white"/>
        </w:rPr>
      </w:pPr>
      <w:r>
        <w:rPr>
          <w:rFonts w:ascii="Arial" w:eastAsia="Arial" w:hAnsi="Arial" w:cs="Arial"/>
          <w:sz w:val="20"/>
          <w:szCs w:val="20"/>
          <w:highlight w:val="white"/>
        </w:rPr>
        <w:t xml:space="preserve">Malta Federation of </w:t>
      </w:r>
      <w:proofErr w:type="spellStart"/>
      <w:r>
        <w:rPr>
          <w:rFonts w:ascii="Arial" w:eastAsia="Arial" w:hAnsi="Arial" w:cs="Arial"/>
          <w:sz w:val="20"/>
          <w:szCs w:val="20"/>
          <w:highlight w:val="white"/>
        </w:rPr>
        <w:t>Organisations</w:t>
      </w:r>
      <w:proofErr w:type="spellEnd"/>
      <w:r>
        <w:rPr>
          <w:rFonts w:ascii="Arial" w:eastAsia="Arial" w:hAnsi="Arial" w:cs="Arial"/>
          <w:sz w:val="20"/>
          <w:szCs w:val="20"/>
          <w:highlight w:val="white"/>
        </w:rPr>
        <w:t xml:space="preserve"> Persons </w:t>
      </w:r>
      <w:proofErr w:type="gramStart"/>
      <w:r>
        <w:rPr>
          <w:rFonts w:ascii="Arial" w:eastAsia="Arial" w:hAnsi="Arial" w:cs="Arial"/>
          <w:sz w:val="20"/>
          <w:szCs w:val="20"/>
          <w:highlight w:val="white"/>
        </w:rPr>
        <w:t>With</w:t>
      </w:r>
      <w:proofErr w:type="gramEnd"/>
      <w:r>
        <w:rPr>
          <w:rFonts w:ascii="Arial" w:eastAsia="Arial" w:hAnsi="Arial" w:cs="Arial"/>
          <w:sz w:val="20"/>
          <w:szCs w:val="20"/>
          <w:highlight w:val="white"/>
        </w:rPr>
        <w:t xml:space="preserve"> Disability (MFOPD)</w:t>
      </w:r>
    </w:p>
    <w:p w14:paraId="00000073" w14:textId="77777777" w:rsidR="001A46E5" w:rsidRDefault="00F65B9D">
      <w:pPr>
        <w:spacing w:line="276" w:lineRule="auto"/>
        <w:jc w:val="both"/>
        <w:rPr>
          <w:rFonts w:ascii="Arial" w:eastAsia="Arial" w:hAnsi="Arial" w:cs="Arial"/>
          <w:sz w:val="20"/>
          <w:szCs w:val="20"/>
          <w:highlight w:val="white"/>
        </w:rPr>
      </w:pPr>
      <w:proofErr w:type="spellStart"/>
      <w:r>
        <w:rPr>
          <w:rFonts w:ascii="Arial" w:eastAsia="Arial" w:hAnsi="Arial" w:cs="Arial"/>
          <w:sz w:val="20"/>
          <w:szCs w:val="20"/>
          <w:highlight w:val="white"/>
        </w:rPr>
        <w:t>Matifadza</w:t>
      </w:r>
      <w:proofErr w:type="spellEnd"/>
      <w:r>
        <w:rPr>
          <w:rFonts w:ascii="Arial" w:eastAsia="Arial" w:hAnsi="Arial" w:cs="Arial"/>
          <w:sz w:val="20"/>
          <w:szCs w:val="20"/>
          <w:highlight w:val="white"/>
        </w:rPr>
        <w:t xml:space="preserve"> Hydrocephalus Care Trust</w:t>
      </w:r>
    </w:p>
    <w:p w14:paraId="00000074" w14:textId="77777777" w:rsidR="001A46E5" w:rsidRDefault="00F65B9D">
      <w:pPr>
        <w:spacing w:line="276" w:lineRule="auto"/>
        <w:jc w:val="both"/>
        <w:rPr>
          <w:rFonts w:ascii="Roboto" w:eastAsia="Roboto" w:hAnsi="Roboto" w:cs="Roboto"/>
          <w:sz w:val="20"/>
          <w:szCs w:val="20"/>
          <w:highlight w:val="white"/>
        </w:rPr>
      </w:pPr>
      <w:r>
        <w:rPr>
          <w:rFonts w:ascii="Roboto" w:eastAsia="Roboto" w:hAnsi="Roboto" w:cs="Roboto"/>
          <w:sz w:val="20"/>
          <w:szCs w:val="20"/>
          <w:highlight w:val="white"/>
        </w:rPr>
        <w:t>Mental Disability Rights Initiative MDRI-S</w:t>
      </w:r>
    </w:p>
    <w:p w14:paraId="00000075" w14:textId="77777777" w:rsidR="001A46E5" w:rsidRDefault="00F65B9D">
      <w:pPr>
        <w:spacing w:line="276" w:lineRule="auto"/>
        <w:jc w:val="both"/>
        <w:rPr>
          <w:rFonts w:ascii="Roboto" w:eastAsia="Roboto" w:hAnsi="Roboto" w:cs="Roboto"/>
          <w:sz w:val="20"/>
          <w:szCs w:val="20"/>
          <w:highlight w:val="white"/>
        </w:rPr>
      </w:pPr>
      <w:r>
        <w:rPr>
          <w:rFonts w:ascii="Roboto" w:eastAsia="Roboto" w:hAnsi="Roboto" w:cs="Roboto"/>
          <w:sz w:val="20"/>
          <w:szCs w:val="20"/>
          <w:highlight w:val="white"/>
        </w:rPr>
        <w:t>National Association for Rights Protection and Advocacy</w:t>
      </w:r>
    </w:p>
    <w:p w14:paraId="00000076"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Network of Organizations for Children of Serbia MODS</w:t>
      </w:r>
    </w:p>
    <w:p w14:paraId="00000077"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Partnership for Early Childhood Development &amp; Disability Rights (PECDDR)</w:t>
      </w:r>
    </w:p>
    <w:p w14:paraId="00000078"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highlight w:val="white"/>
        </w:rPr>
        <w:t xml:space="preserve">Pennsylvania </w:t>
      </w:r>
      <w:proofErr w:type="gramStart"/>
      <w:r>
        <w:rPr>
          <w:rFonts w:ascii="Arial" w:eastAsia="Arial" w:hAnsi="Arial" w:cs="Arial"/>
          <w:sz w:val="20"/>
          <w:szCs w:val="20"/>
          <w:highlight w:val="white"/>
        </w:rPr>
        <w:t>TASH  (</w:t>
      </w:r>
      <w:proofErr w:type="gramEnd"/>
      <w:r>
        <w:rPr>
          <w:rFonts w:ascii="Arial" w:eastAsia="Arial" w:hAnsi="Arial" w:cs="Arial"/>
          <w:sz w:val="20"/>
          <w:szCs w:val="20"/>
          <w:highlight w:val="white"/>
        </w:rPr>
        <w:t>"</w:t>
      </w:r>
      <w:proofErr w:type="spellStart"/>
      <w:r>
        <w:rPr>
          <w:rFonts w:ascii="Arial" w:eastAsia="Arial" w:hAnsi="Arial" w:cs="Arial"/>
          <w:sz w:val="20"/>
          <w:szCs w:val="20"/>
          <w:highlight w:val="white"/>
        </w:rPr>
        <w:t>PennTASH</w:t>
      </w:r>
      <w:proofErr w:type="spellEnd"/>
      <w:r>
        <w:rPr>
          <w:rFonts w:ascii="Arial" w:eastAsia="Arial" w:hAnsi="Arial" w:cs="Arial"/>
          <w:sz w:val="20"/>
          <w:szCs w:val="20"/>
          <w:highlight w:val="white"/>
        </w:rPr>
        <w:t>")</w:t>
      </w:r>
    </w:p>
    <w:p w14:paraId="00000079" w14:textId="77777777" w:rsidR="001A46E5" w:rsidRDefault="00F65B9D">
      <w:pPr>
        <w:jc w:val="both"/>
        <w:rPr>
          <w:rFonts w:ascii="Arial" w:eastAsia="Arial" w:hAnsi="Arial" w:cs="Arial"/>
          <w:color w:val="000000"/>
          <w:sz w:val="20"/>
          <w:szCs w:val="20"/>
        </w:rPr>
      </w:pPr>
      <w:proofErr w:type="spellStart"/>
      <w:r>
        <w:rPr>
          <w:rFonts w:ascii="Arial" w:eastAsia="Arial" w:hAnsi="Arial" w:cs="Arial"/>
          <w:color w:val="000000"/>
          <w:sz w:val="20"/>
          <w:szCs w:val="20"/>
        </w:rPr>
        <w:t>Prijatelji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dece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Srbije</w:t>
      </w:r>
      <w:proofErr w:type="spellEnd"/>
      <w:r>
        <w:rPr>
          <w:rFonts w:ascii="Arial" w:eastAsia="Arial" w:hAnsi="Arial" w:cs="Arial"/>
          <w:color w:val="000000"/>
          <w:sz w:val="20"/>
          <w:szCs w:val="20"/>
        </w:rPr>
        <w:t xml:space="preserve"> (Friends of Children of Serbia)</w:t>
      </w:r>
    </w:p>
    <w:p w14:paraId="0000007A" w14:textId="77777777" w:rsidR="001A46E5" w:rsidRDefault="00F65B9D">
      <w:pPr>
        <w:jc w:val="both"/>
        <w:rPr>
          <w:rFonts w:ascii="Arial" w:eastAsia="Arial" w:hAnsi="Arial" w:cs="Arial"/>
          <w:color w:val="000000"/>
          <w:sz w:val="20"/>
          <w:szCs w:val="20"/>
        </w:rPr>
      </w:pPr>
      <w:proofErr w:type="spellStart"/>
      <w:r>
        <w:rPr>
          <w:rFonts w:ascii="Arial" w:eastAsia="Arial" w:hAnsi="Arial" w:cs="Arial"/>
          <w:color w:val="000000"/>
          <w:sz w:val="20"/>
          <w:szCs w:val="20"/>
        </w:rPr>
        <w:t>Redesfera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Latinoamericana</w:t>
      </w:r>
      <w:proofErr w:type="spellEnd"/>
      <w:r>
        <w:rPr>
          <w:rFonts w:ascii="Arial" w:eastAsia="Arial" w:hAnsi="Arial" w:cs="Arial"/>
          <w:color w:val="000000"/>
          <w:sz w:val="20"/>
          <w:szCs w:val="20"/>
        </w:rPr>
        <w:t xml:space="preserve"> de la </w:t>
      </w:r>
      <w:proofErr w:type="spellStart"/>
      <w:r>
        <w:rPr>
          <w:rFonts w:ascii="Arial" w:eastAsia="Arial" w:hAnsi="Arial" w:cs="Arial"/>
          <w:color w:val="000000"/>
          <w:sz w:val="20"/>
          <w:szCs w:val="20"/>
        </w:rPr>
        <w:t>Diversidad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Psicosocial</w:t>
      </w:r>
      <w:proofErr w:type="spellEnd"/>
    </w:p>
    <w:p w14:paraId="0000007B"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Samantha’s Law</w:t>
      </w:r>
    </w:p>
    <w:p w14:paraId="0000007C"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Social Synergy</w:t>
      </w:r>
    </w:p>
    <w:p w14:paraId="0000007D"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highlight w:val="white"/>
        </w:rPr>
        <w:t>SPOON</w:t>
      </w:r>
    </w:p>
    <w:p w14:paraId="0000007E"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Support Organization of Parents with Disabilities (SOPADI)</w:t>
      </w:r>
    </w:p>
    <w:p w14:paraId="0000007F"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TASH</w:t>
      </w:r>
    </w:p>
    <w:p w14:paraId="00000080" w14:textId="77777777" w:rsidR="001A46E5" w:rsidRDefault="00F65B9D">
      <w:pPr>
        <w:spacing w:line="276" w:lineRule="auto"/>
        <w:jc w:val="both"/>
        <w:rPr>
          <w:color w:val="222222"/>
          <w:sz w:val="22"/>
          <w:szCs w:val="22"/>
          <w:highlight w:val="white"/>
        </w:rPr>
      </w:pPr>
      <w:r>
        <w:rPr>
          <w:rFonts w:ascii="Arial" w:eastAsia="Arial" w:hAnsi="Arial" w:cs="Arial"/>
          <w:color w:val="000000"/>
          <w:sz w:val="20"/>
          <w:szCs w:val="20"/>
        </w:rPr>
        <w:t>The Arc of Northern Virginia</w:t>
      </w:r>
    </w:p>
    <w:p w14:paraId="00000081"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The Delia Founda</w:t>
      </w:r>
      <w:r>
        <w:rPr>
          <w:rFonts w:ascii="Arial" w:eastAsia="Arial" w:hAnsi="Arial" w:cs="Arial"/>
          <w:color w:val="000000"/>
          <w:sz w:val="20"/>
          <w:szCs w:val="20"/>
        </w:rPr>
        <w:t>tion</w:t>
      </w:r>
    </w:p>
    <w:p w14:paraId="00000082" w14:textId="77777777" w:rsidR="001A46E5" w:rsidRDefault="00F65B9D">
      <w:pPr>
        <w:spacing w:line="276" w:lineRule="auto"/>
        <w:jc w:val="both"/>
        <w:rPr>
          <w:rFonts w:ascii="Arial" w:eastAsia="Arial" w:hAnsi="Arial" w:cs="Arial"/>
          <w:sz w:val="20"/>
          <w:szCs w:val="20"/>
        </w:rPr>
      </w:pPr>
      <w:r>
        <w:rPr>
          <w:rFonts w:ascii="Arial" w:eastAsia="Arial" w:hAnsi="Arial" w:cs="Arial"/>
          <w:sz w:val="20"/>
          <w:szCs w:val="20"/>
        </w:rPr>
        <w:t>The Spectrum</w:t>
      </w:r>
    </w:p>
    <w:p w14:paraId="00000083"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Tushinde</w:t>
      </w:r>
      <w:proofErr w:type="spellEnd"/>
      <w:r>
        <w:rPr>
          <w:rFonts w:ascii="Arial" w:eastAsia="Arial" w:hAnsi="Arial" w:cs="Arial"/>
          <w:color w:val="000000"/>
          <w:sz w:val="20"/>
          <w:szCs w:val="20"/>
        </w:rPr>
        <w:t xml:space="preserve"> Children's Trust</w:t>
      </w:r>
    </w:p>
    <w:p w14:paraId="00000084"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Uganda Society for Disabled Children</w:t>
      </w:r>
    </w:p>
    <w:p w14:paraId="00000085" w14:textId="77777777" w:rsidR="001A46E5" w:rsidRDefault="00F65B9D">
      <w:pPr>
        <w:spacing w:line="276" w:lineRule="auto"/>
        <w:jc w:val="both"/>
        <w:rPr>
          <w:rFonts w:ascii="Arial" w:eastAsia="Arial" w:hAnsi="Arial" w:cs="Arial"/>
          <w:color w:val="000000"/>
          <w:sz w:val="20"/>
          <w:szCs w:val="20"/>
        </w:rPr>
      </w:pPr>
      <w:r>
        <w:rPr>
          <w:rFonts w:ascii="Arial" w:eastAsia="Arial" w:hAnsi="Arial" w:cs="Arial"/>
          <w:color w:val="000000"/>
          <w:sz w:val="20"/>
          <w:szCs w:val="20"/>
        </w:rPr>
        <w:t>Ukrainian Child Rights Network</w:t>
      </w:r>
    </w:p>
    <w:p w14:paraId="00000086" w14:textId="77777777" w:rsidR="001A46E5" w:rsidRDefault="00F65B9D">
      <w:pPr>
        <w:spacing w:line="276" w:lineRule="auto"/>
        <w:jc w:val="both"/>
        <w:rPr>
          <w:rFonts w:ascii="Arial" w:eastAsia="Arial" w:hAnsi="Arial" w:cs="Arial"/>
          <w:sz w:val="20"/>
          <w:szCs w:val="20"/>
        </w:rPr>
      </w:pPr>
      <w:r>
        <w:rPr>
          <w:rFonts w:ascii="Roboto" w:eastAsia="Roboto" w:hAnsi="Roboto" w:cs="Roboto"/>
          <w:sz w:val="20"/>
          <w:szCs w:val="20"/>
          <w:highlight w:val="white"/>
        </w:rPr>
        <w:t xml:space="preserve">Union of Disabled People </w:t>
      </w:r>
      <w:proofErr w:type="spellStart"/>
      <w:r>
        <w:rPr>
          <w:rFonts w:ascii="Roboto" w:eastAsia="Roboto" w:hAnsi="Roboto" w:cs="Roboto"/>
          <w:sz w:val="20"/>
          <w:szCs w:val="20"/>
          <w:highlight w:val="white"/>
        </w:rPr>
        <w:t>Organisations</w:t>
      </w:r>
      <w:proofErr w:type="spellEnd"/>
      <w:r>
        <w:rPr>
          <w:rFonts w:ascii="Roboto" w:eastAsia="Roboto" w:hAnsi="Roboto" w:cs="Roboto"/>
          <w:sz w:val="20"/>
          <w:szCs w:val="20"/>
          <w:highlight w:val="white"/>
        </w:rPr>
        <w:t xml:space="preserve"> of Azerbaijan</w:t>
      </w:r>
    </w:p>
    <w:p w14:paraId="00000087" w14:textId="77777777" w:rsidR="001A46E5" w:rsidRDefault="00F65B9D">
      <w:pPr>
        <w:spacing w:line="276"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Uzice</w:t>
      </w:r>
      <w:proofErr w:type="spellEnd"/>
      <w:r>
        <w:rPr>
          <w:rFonts w:ascii="Arial" w:eastAsia="Arial" w:hAnsi="Arial" w:cs="Arial"/>
          <w:color w:val="000000"/>
          <w:sz w:val="20"/>
          <w:szCs w:val="20"/>
        </w:rPr>
        <w:t xml:space="preserve"> Child Rights Centre</w:t>
      </w:r>
    </w:p>
    <w:p w14:paraId="00000088" w14:textId="77777777" w:rsidR="001A46E5" w:rsidRDefault="00F65B9D">
      <w:pPr>
        <w:spacing w:line="276" w:lineRule="auto"/>
        <w:jc w:val="both"/>
        <w:rPr>
          <w:rFonts w:ascii="Arial" w:eastAsia="Arial" w:hAnsi="Arial" w:cs="Arial"/>
          <w:color w:val="000000"/>
          <w:sz w:val="20"/>
          <w:szCs w:val="20"/>
        </w:rPr>
        <w:sectPr w:rsidR="001A46E5">
          <w:type w:val="continuous"/>
          <w:pgSz w:w="12240" w:h="15840"/>
          <w:pgMar w:top="1440" w:right="1440" w:bottom="1440" w:left="1440" w:header="720" w:footer="720" w:gutter="0"/>
          <w:cols w:num="2" w:space="720" w:equalWidth="0">
            <w:col w:w="4320" w:space="720"/>
            <w:col w:w="4320" w:space="0"/>
          </w:cols>
        </w:sectPr>
      </w:pPr>
      <w:r>
        <w:rPr>
          <w:rFonts w:ascii="Arial" w:eastAsia="Arial" w:hAnsi="Arial" w:cs="Arial"/>
          <w:color w:val="000000"/>
          <w:sz w:val="20"/>
          <w:szCs w:val="20"/>
        </w:rPr>
        <w:t xml:space="preserve">Vida </w:t>
      </w:r>
      <w:proofErr w:type="spellStart"/>
      <w:r>
        <w:rPr>
          <w:rFonts w:ascii="Arial" w:eastAsia="Arial" w:hAnsi="Arial" w:cs="Arial"/>
          <w:color w:val="000000"/>
          <w:sz w:val="20"/>
          <w:szCs w:val="20"/>
        </w:rPr>
        <w:t>independiente</w:t>
      </w:r>
      <w:proofErr w:type="spellEnd"/>
      <w:r>
        <w:rPr>
          <w:rFonts w:ascii="Arial" w:eastAsia="Arial" w:hAnsi="Arial" w:cs="Arial"/>
          <w:color w:val="000000"/>
          <w:sz w:val="20"/>
          <w:szCs w:val="20"/>
        </w:rPr>
        <w:t xml:space="preserve"> Andalucía</w:t>
      </w:r>
    </w:p>
    <w:p w14:paraId="00000089" w14:textId="77777777" w:rsidR="001A46E5" w:rsidRDefault="001A46E5">
      <w:pPr>
        <w:spacing w:line="276" w:lineRule="auto"/>
        <w:jc w:val="both"/>
        <w:rPr>
          <w:color w:val="222222"/>
          <w:sz w:val="22"/>
          <w:szCs w:val="22"/>
          <w:highlight w:val="white"/>
        </w:rPr>
      </w:pPr>
    </w:p>
    <w:p w14:paraId="0000008A" w14:textId="77777777" w:rsidR="001A46E5" w:rsidRDefault="001A46E5">
      <w:pPr>
        <w:spacing w:line="276" w:lineRule="auto"/>
        <w:jc w:val="both"/>
        <w:rPr>
          <w:color w:val="222222"/>
          <w:sz w:val="22"/>
          <w:szCs w:val="22"/>
          <w:highlight w:val="white"/>
        </w:rPr>
      </w:pPr>
    </w:p>
    <w:p w14:paraId="0000008B" w14:textId="77777777" w:rsidR="001A46E5" w:rsidRDefault="001A46E5">
      <w:pPr>
        <w:spacing w:line="276" w:lineRule="auto"/>
        <w:jc w:val="both"/>
        <w:rPr>
          <w:color w:val="222222"/>
          <w:sz w:val="22"/>
          <w:szCs w:val="22"/>
          <w:highlight w:val="white"/>
        </w:rPr>
      </w:pPr>
    </w:p>
    <w:p w14:paraId="0000008C" w14:textId="77777777" w:rsidR="001A46E5" w:rsidRDefault="001A46E5">
      <w:pPr>
        <w:spacing w:line="276" w:lineRule="auto"/>
        <w:jc w:val="both"/>
        <w:rPr>
          <w:color w:val="222222"/>
          <w:sz w:val="22"/>
          <w:szCs w:val="22"/>
          <w:highlight w:val="white"/>
        </w:rPr>
      </w:pPr>
    </w:p>
    <w:p w14:paraId="0000008D" w14:textId="77777777" w:rsidR="001A46E5" w:rsidRDefault="001A46E5">
      <w:pPr>
        <w:spacing w:line="276" w:lineRule="auto"/>
        <w:jc w:val="both"/>
        <w:rPr>
          <w:color w:val="222222"/>
          <w:sz w:val="22"/>
          <w:szCs w:val="22"/>
          <w:highlight w:val="white"/>
        </w:rPr>
      </w:pPr>
    </w:p>
    <w:p w14:paraId="0000008E" w14:textId="77777777" w:rsidR="001A46E5" w:rsidRDefault="00F65B9D">
      <w:pPr>
        <w:spacing w:line="276" w:lineRule="auto"/>
        <w:jc w:val="both"/>
        <w:rPr>
          <w:b/>
          <w:color w:val="222222"/>
          <w:sz w:val="22"/>
          <w:szCs w:val="22"/>
          <w:highlight w:val="white"/>
        </w:rPr>
      </w:pPr>
      <w:r>
        <w:rPr>
          <w:b/>
          <w:color w:val="222222"/>
          <w:sz w:val="22"/>
          <w:szCs w:val="22"/>
          <w:highlight w:val="white"/>
        </w:rPr>
        <w:t xml:space="preserve">Individual endorsements: </w:t>
      </w:r>
    </w:p>
    <w:p w14:paraId="0000008F" w14:textId="77777777" w:rsidR="001A46E5" w:rsidRDefault="001A46E5">
      <w:pPr>
        <w:spacing w:line="276" w:lineRule="auto"/>
        <w:jc w:val="both"/>
        <w:rPr>
          <w:color w:val="222222"/>
          <w:sz w:val="22"/>
          <w:szCs w:val="22"/>
          <w:highlight w:val="white"/>
        </w:rPr>
      </w:pPr>
    </w:p>
    <w:p w14:paraId="00000090" w14:textId="77777777" w:rsidR="001A46E5" w:rsidRDefault="00F65B9D">
      <w:pPr>
        <w:spacing w:after="120"/>
        <w:rPr>
          <w:rFonts w:ascii="Arial" w:eastAsia="Arial" w:hAnsi="Arial" w:cs="Arial"/>
          <w:color w:val="000000"/>
          <w:sz w:val="20"/>
          <w:szCs w:val="20"/>
        </w:rPr>
      </w:pPr>
      <w:proofErr w:type="spellStart"/>
      <w:r>
        <w:rPr>
          <w:rFonts w:ascii="Arial" w:eastAsia="Arial" w:hAnsi="Arial" w:cs="Arial"/>
          <w:color w:val="000000"/>
          <w:sz w:val="20"/>
          <w:szCs w:val="20"/>
        </w:rPr>
        <w:t>Áine</w:t>
      </w:r>
      <w:proofErr w:type="spellEnd"/>
      <w:r>
        <w:rPr>
          <w:rFonts w:ascii="Arial" w:eastAsia="Arial" w:hAnsi="Arial" w:cs="Arial"/>
          <w:color w:val="000000"/>
          <w:sz w:val="20"/>
          <w:szCs w:val="20"/>
        </w:rPr>
        <w:t xml:space="preserve"> Kelly-Costello, disability campaigner, European Network on Independent Living volunteer</w:t>
      </w:r>
    </w:p>
    <w:p w14:paraId="00000091" w14:textId="77777777" w:rsidR="001A46E5" w:rsidRDefault="00F65B9D">
      <w:pPr>
        <w:spacing w:after="120"/>
        <w:jc w:val="both"/>
        <w:rPr>
          <w:rFonts w:ascii="Arial" w:eastAsia="Arial" w:hAnsi="Arial" w:cs="Arial"/>
          <w:color w:val="000000"/>
          <w:sz w:val="20"/>
          <w:szCs w:val="20"/>
        </w:rPr>
      </w:pPr>
      <w:r>
        <w:rPr>
          <w:rFonts w:ascii="Arial" w:eastAsia="Arial" w:hAnsi="Arial" w:cs="Arial"/>
          <w:color w:val="000000"/>
          <w:sz w:val="20"/>
          <w:szCs w:val="20"/>
        </w:rPr>
        <w:t xml:space="preserve">Amalia </w:t>
      </w:r>
      <w:proofErr w:type="spellStart"/>
      <w:r>
        <w:rPr>
          <w:rFonts w:ascii="Arial" w:eastAsia="Arial" w:hAnsi="Arial" w:cs="Arial"/>
          <w:color w:val="000000"/>
          <w:sz w:val="20"/>
          <w:szCs w:val="20"/>
        </w:rPr>
        <w:t>Gamio</w:t>
      </w:r>
      <w:proofErr w:type="spellEnd"/>
      <w:r>
        <w:rPr>
          <w:rFonts w:ascii="Arial" w:eastAsia="Arial" w:hAnsi="Arial" w:cs="Arial"/>
          <w:color w:val="000000"/>
          <w:sz w:val="20"/>
          <w:szCs w:val="20"/>
        </w:rPr>
        <w:t>, Independent expert in human rights of persons with disabilities</w:t>
      </w:r>
    </w:p>
    <w:p w14:paraId="00000092" w14:textId="77777777" w:rsidR="001A46E5" w:rsidRDefault="00F65B9D">
      <w:pPr>
        <w:spacing w:after="120"/>
        <w:jc w:val="both"/>
        <w:rPr>
          <w:rFonts w:ascii="Arial" w:eastAsia="Arial" w:hAnsi="Arial" w:cs="Arial"/>
          <w:color w:val="000000"/>
          <w:sz w:val="20"/>
          <w:szCs w:val="20"/>
        </w:rPr>
      </w:pPr>
      <w:r>
        <w:rPr>
          <w:rFonts w:ascii="Arial" w:eastAsia="Arial" w:hAnsi="Arial" w:cs="Arial"/>
          <w:color w:val="000000"/>
          <w:sz w:val="20"/>
          <w:szCs w:val="20"/>
        </w:rPr>
        <w:lastRenderedPageBreak/>
        <w:t>Ana Laura Aiello, researcher</w:t>
      </w:r>
    </w:p>
    <w:p w14:paraId="00000093" w14:textId="77777777" w:rsidR="001A46E5" w:rsidRDefault="00F65B9D">
      <w:pPr>
        <w:spacing w:after="120"/>
        <w:jc w:val="both"/>
        <w:rPr>
          <w:rFonts w:ascii="Arial" w:eastAsia="Arial" w:hAnsi="Arial" w:cs="Arial"/>
          <w:sz w:val="20"/>
          <w:szCs w:val="20"/>
        </w:rPr>
      </w:pPr>
      <w:r>
        <w:rPr>
          <w:rFonts w:ascii="Arial" w:eastAsia="Arial" w:hAnsi="Arial" w:cs="Arial"/>
          <w:sz w:val="20"/>
          <w:szCs w:val="20"/>
          <w:highlight w:val="white"/>
        </w:rPr>
        <w:t>Andrea Parra, Latin American Network on Art. 12</w:t>
      </w:r>
    </w:p>
    <w:p w14:paraId="00000094" w14:textId="77777777" w:rsidR="001A46E5" w:rsidRDefault="00F65B9D">
      <w:pPr>
        <w:spacing w:after="120"/>
        <w:jc w:val="both"/>
        <w:rPr>
          <w:rFonts w:ascii="Arial" w:eastAsia="Arial" w:hAnsi="Arial" w:cs="Arial"/>
          <w:sz w:val="20"/>
          <w:szCs w:val="20"/>
        </w:rPr>
      </w:pPr>
      <w:r>
        <w:rPr>
          <w:rFonts w:ascii="Arial" w:eastAsia="Arial" w:hAnsi="Arial" w:cs="Arial"/>
          <w:sz w:val="20"/>
          <w:szCs w:val="20"/>
        </w:rPr>
        <w:t>Angharad Beckett, PhD, FRSA, Professor of Political Sociology and Social Inclusion, Joint Director of</w:t>
      </w:r>
      <w:r>
        <w:rPr>
          <w:rFonts w:ascii="Arial" w:eastAsia="Arial" w:hAnsi="Arial" w:cs="Arial"/>
          <w:sz w:val="20"/>
          <w:szCs w:val="20"/>
        </w:rPr>
        <w:t xml:space="preserve"> the Centre for Disability Studies, University of Leeds, UK</w:t>
      </w:r>
    </w:p>
    <w:p w14:paraId="00000095" w14:textId="77777777" w:rsidR="001A46E5" w:rsidRDefault="00F65B9D">
      <w:pPr>
        <w:spacing w:after="120"/>
        <w:jc w:val="both"/>
        <w:rPr>
          <w:rFonts w:ascii="Arial" w:eastAsia="Arial" w:hAnsi="Arial" w:cs="Arial"/>
          <w:sz w:val="20"/>
          <w:szCs w:val="20"/>
        </w:rPr>
      </w:pPr>
      <w:r>
        <w:rPr>
          <w:rFonts w:ascii="Arial" w:eastAsia="Arial" w:hAnsi="Arial" w:cs="Arial"/>
          <w:sz w:val="20"/>
          <w:szCs w:val="20"/>
          <w:highlight w:val="white"/>
        </w:rPr>
        <w:t>Anna Lawson, PhD, Professor of Law, Joint Director of the Centre for Disability Studies, University of Leeds, UK</w:t>
      </w:r>
    </w:p>
    <w:p w14:paraId="00000096" w14:textId="77777777" w:rsidR="001A46E5" w:rsidRDefault="00F65B9D">
      <w:pPr>
        <w:spacing w:after="120"/>
        <w:jc w:val="both"/>
        <w:rPr>
          <w:rFonts w:ascii="Arial" w:eastAsia="Arial" w:hAnsi="Arial" w:cs="Arial"/>
          <w:color w:val="000000"/>
          <w:sz w:val="20"/>
          <w:szCs w:val="20"/>
        </w:rPr>
      </w:pPr>
      <w:r>
        <w:rPr>
          <w:rFonts w:ascii="Arial" w:eastAsia="Arial" w:hAnsi="Arial" w:cs="Arial"/>
          <w:color w:val="000000"/>
          <w:sz w:val="20"/>
          <w:szCs w:val="20"/>
        </w:rPr>
        <w:t>Brendan Boland, Asia Foundation</w:t>
      </w:r>
    </w:p>
    <w:p w14:paraId="00000097" w14:textId="77777777" w:rsidR="001A46E5" w:rsidRDefault="00F65B9D">
      <w:pPr>
        <w:spacing w:after="120"/>
        <w:jc w:val="both"/>
        <w:rPr>
          <w:color w:val="222222"/>
          <w:sz w:val="22"/>
          <w:szCs w:val="22"/>
          <w:highlight w:val="white"/>
        </w:rPr>
      </w:pPr>
      <w:r>
        <w:rPr>
          <w:rFonts w:ascii="Arial" w:eastAsia="Arial" w:hAnsi="Arial" w:cs="Arial"/>
          <w:color w:val="000000"/>
          <w:sz w:val="20"/>
          <w:szCs w:val="20"/>
        </w:rPr>
        <w:t xml:space="preserve">César </w:t>
      </w:r>
      <w:proofErr w:type="spellStart"/>
      <w:r>
        <w:rPr>
          <w:rFonts w:ascii="Arial" w:eastAsia="Arial" w:hAnsi="Arial" w:cs="Arial"/>
          <w:color w:val="000000"/>
          <w:sz w:val="20"/>
          <w:szCs w:val="20"/>
        </w:rPr>
        <w:t>Giménez</w:t>
      </w:r>
      <w:proofErr w:type="spellEnd"/>
      <w:r>
        <w:rPr>
          <w:rFonts w:ascii="Arial" w:eastAsia="Arial" w:hAnsi="Arial" w:cs="Arial"/>
          <w:color w:val="000000"/>
          <w:sz w:val="20"/>
          <w:szCs w:val="20"/>
        </w:rPr>
        <w:t xml:space="preserve"> Sánchez</w:t>
      </w:r>
    </w:p>
    <w:p w14:paraId="00000098" w14:textId="77777777" w:rsidR="001A46E5" w:rsidRDefault="00F65B9D">
      <w:pPr>
        <w:spacing w:after="120"/>
        <w:jc w:val="both"/>
        <w:rPr>
          <w:rFonts w:ascii="Arial" w:eastAsia="Arial" w:hAnsi="Arial" w:cs="Arial"/>
          <w:color w:val="000000"/>
          <w:sz w:val="20"/>
          <w:szCs w:val="20"/>
        </w:rPr>
      </w:pPr>
      <w:r>
        <w:rPr>
          <w:rFonts w:ascii="Arial" w:eastAsia="Arial" w:hAnsi="Arial" w:cs="Arial"/>
          <w:color w:val="000000"/>
          <w:sz w:val="20"/>
          <w:szCs w:val="20"/>
        </w:rPr>
        <w:t>David Geist</w:t>
      </w:r>
    </w:p>
    <w:p w14:paraId="00000099" w14:textId="77777777" w:rsidR="001A46E5" w:rsidRDefault="00F65B9D">
      <w:pPr>
        <w:spacing w:after="120"/>
        <w:jc w:val="both"/>
        <w:rPr>
          <w:rFonts w:ascii="Arial" w:eastAsia="Arial" w:hAnsi="Arial" w:cs="Arial"/>
          <w:color w:val="000000"/>
          <w:sz w:val="20"/>
          <w:szCs w:val="20"/>
        </w:rPr>
      </w:pPr>
      <w:r>
        <w:rPr>
          <w:rFonts w:ascii="Arial" w:eastAsia="Arial" w:hAnsi="Arial" w:cs="Arial"/>
          <w:color w:val="000000"/>
          <w:sz w:val="20"/>
          <w:szCs w:val="20"/>
        </w:rPr>
        <w:t>Eric A. Friedman,</w:t>
      </w:r>
      <w:r>
        <w:rPr>
          <w:rFonts w:ascii="Arial" w:eastAsia="Arial" w:hAnsi="Arial" w:cs="Arial"/>
          <w:color w:val="000000"/>
          <w:sz w:val="20"/>
          <w:szCs w:val="20"/>
        </w:rPr>
        <w:t xml:space="preserve"> Global Health Justice Scholar, O'Neill Institute for National and Global Health Law, Georgetown University Law Center</w:t>
      </w:r>
    </w:p>
    <w:p w14:paraId="0000009A" w14:textId="77777777" w:rsidR="001A46E5" w:rsidRDefault="00F65B9D">
      <w:pPr>
        <w:spacing w:after="120"/>
        <w:jc w:val="both"/>
        <w:rPr>
          <w:rFonts w:ascii="Arial" w:eastAsia="Arial" w:hAnsi="Arial" w:cs="Arial"/>
          <w:color w:val="000000"/>
          <w:sz w:val="20"/>
          <w:szCs w:val="20"/>
        </w:rPr>
      </w:pPr>
      <w:r>
        <w:rPr>
          <w:rFonts w:ascii="Arial" w:eastAsia="Arial" w:hAnsi="Arial" w:cs="Arial"/>
          <w:color w:val="000000"/>
          <w:sz w:val="20"/>
          <w:szCs w:val="20"/>
        </w:rPr>
        <w:t>Franke James</w:t>
      </w:r>
    </w:p>
    <w:p w14:paraId="0000009B"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 xml:space="preserve">Helen </w:t>
      </w:r>
      <w:proofErr w:type="spellStart"/>
      <w:r>
        <w:rPr>
          <w:rFonts w:ascii="Arial" w:eastAsia="Arial" w:hAnsi="Arial" w:cs="Arial"/>
          <w:color w:val="000000"/>
          <w:sz w:val="20"/>
          <w:szCs w:val="20"/>
        </w:rPr>
        <w:t>Irobo</w:t>
      </w:r>
      <w:proofErr w:type="spellEnd"/>
    </w:p>
    <w:p w14:paraId="0000009C"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 xml:space="preserve">Jaakko </w:t>
      </w:r>
      <w:proofErr w:type="spellStart"/>
      <w:r>
        <w:rPr>
          <w:rFonts w:ascii="Arial" w:eastAsia="Arial" w:hAnsi="Arial" w:cs="Arial"/>
          <w:color w:val="000000"/>
          <w:sz w:val="20"/>
          <w:szCs w:val="20"/>
        </w:rPr>
        <w:t>Leppänen</w:t>
      </w:r>
      <w:proofErr w:type="spellEnd"/>
    </w:p>
    <w:p w14:paraId="0000009D"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Joan Kaufman, PhD, Professor of Psychiatry, Johns Hopkins School of Medicine, Director of Research, Center for Child and Family Traumatic Stress, Kennedy Krieger Institute</w:t>
      </w:r>
    </w:p>
    <w:p w14:paraId="0000009E"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Johanna Smits</w:t>
      </w:r>
    </w:p>
    <w:p w14:paraId="0000009F"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Lucy Baxter</w:t>
      </w:r>
    </w:p>
    <w:p w14:paraId="000000A0" w14:textId="77777777" w:rsidR="001A46E5" w:rsidRDefault="00F65B9D">
      <w:pPr>
        <w:spacing w:after="120"/>
        <w:rPr>
          <w:rFonts w:ascii="Arial" w:eastAsia="Arial" w:hAnsi="Arial" w:cs="Arial"/>
          <w:sz w:val="20"/>
          <w:szCs w:val="20"/>
        </w:rPr>
      </w:pPr>
      <w:r>
        <w:rPr>
          <w:rFonts w:ascii="Arial" w:eastAsia="Arial" w:hAnsi="Arial" w:cs="Arial"/>
          <w:sz w:val="20"/>
          <w:szCs w:val="20"/>
          <w:highlight w:val="white"/>
        </w:rPr>
        <w:t>Margaret Nyambura Mburu- O'Neill Institute for National an</w:t>
      </w:r>
      <w:r>
        <w:rPr>
          <w:rFonts w:ascii="Arial" w:eastAsia="Arial" w:hAnsi="Arial" w:cs="Arial"/>
          <w:sz w:val="20"/>
          <w:szCs w:val="20"/>
          <w:highlight w:val="white"/>
        </w:rPr>
        <w:t>d Global Health Law</w:t>
      </w:r>
    </w:p>
    <w:p w14:paraId="000000A1"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Marilyn Long</w:t>
      </w:r>
    </w:p>
    <w:p w14:paraId="000000A2"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 xml:space="preserve">Matteo </w:t>
      </w:r>
      <w:proofErr w:type="spellStart"/>
      <w:r>
        <w:rPr>
          <w:rFonts w:ascii="Arial" w:eastAsia="Arial" w:hAnsi="Arial" w:cs="Arial"/>
          <w:color w:val="000000"/>
          <w:sz w:val="20"/>
          <w:szCs w:val="20"/>
        </w:rPr>
        <w:t>Menozzi</w:t>
      </w:r>
      <w:proofErr w:type="spellEnd"/>
    </w:p>
    <w:p w14:paraId="000000A3" w14:textId="77777777" w:rsidR="001A46E5" w:rsidRDefault="00F65B9D">
      <w:pPr>
        <w:spacing w:after="120"/>
        <w:rPr>
          <w:rFonts w:ascii="Arial" w:eastAsia="Arial" w:hAnsi="Arial" w:cs="Arial"/>
          <w:color w:val="000000"/>
          <w:sz w:val="20"/>
          <w:szCs w:val="20"/>
        </w:rPr>
      </w:pPr>
      <w:proofErr w:type="spellStart"/>
      <w:r>
        <w:rPr>
          <w:rFonts w:ascii="Arial" w:eastAsia="Arial" w:hAnsi="Arial" w:cs="Arial"/>
          <w:color w:val="000000"/>
          <w:sz w:val="20"/>
          <w:szCs w:val="20"/>
        </w:rPr>
        <w:t>Milica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Mima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Ruzicic</w:t>
      </w:r>
      <w:proofErr w:type="spellEnd"/>
      <w:r>
        <w:rPr>
          <w:rFonts w:ascii="Arial" w:eastAsia="Arial" w:hAnsi="Arial" w:cs="Arial"/>
          <w:color w:val="000000"/>
          <w:sz w:val="20"/>
          <w:szCs w:val="20"/>
        </w:rPr>
        <w:t xml:space="preserve"> – </w:t>
      </w:r>
      <w:proofErr w:type="spellStart"/>
      <w:r>
        <w:rPr>
          <w:rFonts w:ascii="Arial" w:eastAsia="Arial" w:hAnsi="Arial" w:cs="Arial"/>
          <w:color w:val="000000"/>
          <w:sz w:val="20"/>
          <w:szCs w:val="20"/>
        </w:rPr>
        <w:t>Novkovic</w:t>
      </w:r>
      <w:proofErr w:type="spellEnd"/>
    </w:p>
    <w:p w14:paraId="000000A4"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 xml:space="preserve">Mónica Marcela </w:t>
      </w:r>
      <w:proofErr w:type="spellStart"/>
      <w:r>
        <w:rPr>
          <w:rFonts w:ascii="Arial" w:eastAsia="Arial" w:hAnsi="Arial" w:cs="Arial"/>
          <w:color w:val="000000"/>
          <w:sz w:val="20"/>
          <w:szCs w:val="20"/>
        </w:rPr>
        <w:t>Cortinez</w:t>
      </w:r>
      <w:proofErr w:type="spellEnd"/>
      <w:r>
        <w:rPr>
          <w:rFonts w:ascii="Arial" w:eastAsia="Arial" w:hAnsi="Arial" w:cs="Arial"/>
          <w:color w:val="000000"/>
          <w:sz w:val="20"/>
          <w:szCs w:val="20"/>
        </w:rPr>
        <w:t xml:space="preserve">, Persona con </w:t>
      </w:r>
      <w:proofErr w:type="spellStart"/>
      <w:r>
        <w:rPr>
          <w:rFonts w:ascii="Arial" w:eastAsia="Arial" w:hAnsi="Arial" w:cs="Arial"/>
          <w:color w:val="000000"/>
          <w:sz w:val="20"/>
          <w:szCs w:val="20"/>
        </w:rPr>
        <w:t>discapacidad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baja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Visión</w:t>
      </w:r>
      <w:proofErr w:type="spellEnd"/>
    </w:p>
    <w:p w14:paraId="000000A5" w14:textId="77777777" w:rsidR="001A46E5" w:rsidRDefault="00F65B9D">
      <w:pPr>
        <w:spacing w:after="120"/>
        <w:rPr>
          <w:rFonts w:ascii="Arial" w:eastAsia="Arial" w:hAnsi="Arial" w:cs="Arial"/>
          <w:color w:val="000000"/>
          <w:sz w:val="20"/>
          <w:szCs w:val="20"/>
        </w:rPr>
      </w:pPr>
      <w:proofErr w:type="spellStart"/>
      <w:proofErr w:type="gramStart"/>
      <w:r>
        <w:rPr>
          <w:rFonts w:ascii="Arial" w:eastAsia="Arial" w:hAnsi="Arial" w:cs="Arial"/>
          <w:color w:val="000000"/>
          <w:sz w:val="20"/>
          <w:szCs w:val="20"/>
        </w:rPr>
        <w:t>Mr.Dayanidas</w:t>
      </w:r>
      <w:proofErr w:type="spellEnd"/>
      <w:proofErr w:type="gramEnd"/>
      <w:r>
        <w:rPr>
          <w:rFonts w:ascii="Arial" w:eastAsia="Arial" w:hAnsi="Arial" w:cs="Arial"/>
          <w:color w:val="000000"/>
          <w:sz w:val="20"/>
          <w:szCs w:val="20"/>
        </w:rPr>
        <w:t xml:space="preserve"> Sudhakar</w:t>
      </w:r>
    </w:p>
    <w:p w14:paraId="000000A6"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Nigeria National Association of the Deaf, Jigawa State chapter</w:t>
      </w:r>
    </w:p>
    <w:p w14:paraId="000000A7" w14:textId="77777777" w:rsidR="001A46E5" w:rsidRDefault="00F65B9D">
      <w:pPr>
        <w:spacing w:after="120"/>
        <w:rPr>
          <w:rFonts w:ascii="Arial" w:eastAsia="Arial" w:hAnsi="Arial" w:cs="Arial"/>
          <w:color w:val="000000"/>
          <w:sz w:val="20"/>
          <w:szCs w:val="20"/>
        </w:rPr>
      </w:pPr>
      <w:proofErr w:type="spellStart"/>
      <w:r>
        <w:rPr>
          <w:rFonts w:ascii="Arial" w:eastAsia="Arial" w:hAnsi="Arial" w:cs="Arial"/>
          <w:color w:val="000000"/>
          <w:sz w:val="20"/>
          <w:szCs w:val="20"/>
        </w:rPr>
        <w:t>Rados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Keravica</w:t>
      </w:r>
      <w:proofErr w:type="spellEnd"/>
      <w:r>
        <w:rPr>
          <w:rFonts w:ascii="Arial" w:eastAsia="Arial" w:hAnsi="Arial" w:cs="Arial"/>
          <w:color w:val="000000"/>
          <w:sz w:val="20"/>
          <w:szCs w:val="20"/>
        </w:rPr>
        <w:t>, Early-Stage Re</w:t>
      </w:r>
      <w:r>
        <w:rPr>
          <w:rFonts w:ascii="Arial" w:eastAsia="Arial" w:hAnsi="Arial" w:cs="Arial"/>
          <w:color w:val="000000"/>
          <w:sz w:val="20"/>
          <w:szCs w:val="20"/>
        </w:rPr>
        <w:t>searcher, University of Leeds, Centre for Disability Studies</w:t>
      </w:r>
    </w:p>
    <w:p w14:paraId="000000A8"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Scott F. Nolan, Massachusetts, USA</w:t>
      </w:r>
    </w:p>
    <w:p w14:paraId="000000A9" w14:textId="77777777" w:rsidR="001A46E5" w:rsidRDefault="00F65B9D">
      <w:pPr>
        <w:spacing w:after="120"/>
        <w:rPr>
          <w:rFonts w:ascii="Arial" w:eastAsia="Arial" w:hAnsi="Arial" w:cs="Arial"/>
          <w:color w:val="000000"/>
          <w:sz w:val="20"/>
          <w:szCs w:val="20"/>
        </w:rPr>
      </w:pPr>
      <w:r>
        <w:rPr>
          <w:rFonts w:ascii="Arial" w:eastAsia="Arial" w:hAnsi="Arial" w:cs="Arial"/>
          <w:color w:val="000000"/>
          <w:sz w:val="20"/>
          <w:szCs w:val="20"/>
        </w:rPr>
        <w:t xml:space="preserve">Yusuke </w:t>
      </w:r>
      <w:proofErr w:type="spellStart"/>
      <w:r>
        <w:rPr>
          <w:rFonts w:ascii="Arial" w:eastAsia="Arial" w:hAnsi="Arial" w:cs="Arial"/>
          <w:color w:val="000000"/>
          <w:sz w:val="20"/>
          <w:szCs w:val="20"/>
        </w:rPr>
        <w:t>Onoe</w:t>
      </w:r>
      <w:proofErr w:type="spellEnd"/>
    </w:p>
    <w:p w14:paraId="000000AA" w14:textId="77777777" w:rsidR="001A46E5" w:rsidRDefault="001A46E5">
      <w:pPr>
        <w:rPr>
          <w:rFonts w:ascii="Arial" w:eastAsia="Arial" w:hAnsi="Arial" w:cs="Arial"/>
          <w:color w:val="000000"/>
          <w:sz w:val="20"/>
          <w:szCs w:val="20"/>
        </w:rPr>
      </w:pPr>
    </w:p>
    <w:tbl>
      <w:tblPr>
        <w:tblStyle w:val="a"/>
        <w:tblW w:w="13326" w:type="dxa"/>
        <w:tblLayout w:type="fixed"/>
        <w:tblLook w:val="0400" w:firstRow="0" w:lastRow="0" w:firstColumn="0" w:lastColumn="0" w:noHBand="0" w:noVBand="1"/>
      </w:tblPr>
      <w:tblGrid>
        <w:gridCol w:w="9498"/>
        <w:gridCol w:w="3828"/>
      </w:tblGrid>
      <w:tr w:rsidR="001A46E5" w14:paraId="0513C242" w14:textId="77777777">
        <w:trPr>
          <w:trHeight w:val="315"/>
        </w:trPr>
        <w:tc>
          <w:tcPr>
            <w:tcW w:w="13326" w:type="dxa"/>
            <w:gridSpan w:val="2"/>
            <w:tcBorders>
              <w:top w:val="nil"/>
              <w:left w:val="nil"/>
              <w:bottom w:val="nil"/>
              <w:right w:val="nil"/>
            </w:tcBorders>
            <w:shd w:val="clear" w:color="auto" w:fill="auto"/>
            <w:vAlign w:val="bottom"/>
          </w:tcPr>
          <w:p w14:paraId="000000AC" w14:textId="342C576F" w:rsidR="001A46E5" w:rsidRDefault="00F65B9D">
            <w:pPr>
              <w:rPr>
                <w:rFonts w:ascii="Arial" w:eastAsia="Arial" w:hAnsi="Arial" w:cs="Arial"/>
                <w:color w:val="000000"/>
                <w:sz w:val="20"/>
                <w:szCs w:val="20"/>
              </w:rPr>
            </w:pPr>
            <w:r>
              <w:rPr>
                <w:rFonts w:ascii="Arial" w:eastAsia="Arial" w:hAnsi="Arial" w:cs="Arial"/>
                <w:color w:val="000000"/>
                <w:sz w:val="20"/>
                <w:szCs w:val="20"/>
              </w:rPr>
              <w:t>and 5 anonymous endorsements</w:t>
            </w:r>
          </w:p>
          <w:p w14:paraId="000000AD" w14:textId="77777777" w:rsidR="001A46E5" w:rsidRDefault="001A46E5">
            <w:pPr>
              <w:ind w:right="-3934"/>
              <w:rPr>
                <w:rFonts w:ascii="Arial" w:eastAsia="Arial" w:hAnsi="Arial" w:cs="Arial"/>
                <w:color w:val="000000"/>
                <w:sz w:val="20"/>
                <w:szCs w:val="20"/>
              </w:rPr>
            </w:pPr>
          </w:p>
          <w:p w14:paraId="000000AE" w14:textId="77777777" w:rsidR="001A46E5" w:rsidRDefault="001A46E5">
            <w:pPr>
              <w:rPr>
                <w:rFonts w:ascii="Arial" w:eastAsia="Arial" w:hAnsi="Arial" w:cs="Arial"/>
                <w:color w:val="000000"/>
                <w:sz w:val="20"/>
                <w:szCs w:val="20"/>
              </w:rPr>
            </w:pPr>
          </w:p>
        </w:tc>
      </w:tr>
      <w:tr w:rsidR="001A46E5" w14:paraId="621020BC" w14:textId="77777777">
        <w:trPr>
          <w:trHeight w:val="315"/>
        </w:trPr>
        <w:tc>
          <w:tcPr>
            <w:tcW w:w="13326" w:type="dxa"/>
            <w:gridSpan w:val="2"/>
            <w:tcBorders>
              <w:top w:val="nil"/>
              <w:left w:val="nil"/>
              <w:bottom w:val="nil"/>
              <w:right w:val="nil"/>
            </w:tcBorders>
            <w:shd w:val="clear" w:color="auto" w:fill="auto"/>
            <w:vAlign w:val="bottom"/>
          </w:tcPr>
          <w:p w14:paraId="000000B0" w14:textId="77777777" w:rsidR="001A46E5" w:rsidRDefault="001A46E5">
            <w:pPr>
              <w:rPr>
                <w:rFonts w:ascii="Arial" w:eastAsia="Arial" w:hAnsi="Arial" w:cs="Arial"/>
                <w:sz w:val="20"/>
                <w:szCs w:val="20"/>
              </w:rPr>
            </w:pPr>
          </w:p>
          <w:p w14:paraId="000000B1" w14:textId="77777777" w:rsidR="001A46E5" w:rsidRDefault="001A46E5">
            <w:pPr>
              <w:rPr>
                <w:rFonts w:ascii="Arial" w:eastAsia="Arial" w:hAnsi="Arial" w:cs="Arial"/>
                <w:color w:val="000000"/>
                <w:sz w:val="20"/>
                <w:szCs w:val="20"/>
              </w:rPr>
            </w:pPr>
          </w:p>
        </w:tc>
      </w:tr>
      <w:tr w:rsidR="001A46E5" w14:paraId="1FC4C66F" w14:textId="77777777">
        <w:trPr>
          <w:gridAfter w:val="1"/>
          <w:wAfter w:w="3828" w:type="dxa"/>
          <w:trHeight w:val="315"/>
        </w:trPr>
        <w:tc>
          <w:tcPr>
            <w:tcW w:w="9498" w:type="dxa"/>
            <w:tcBorders>
              <w:top w:val="nil"/>
              <w:left w:val="nil"/>
              <w:bottom w:val="nil"/>
              <w:right w:val="nil"/>
            </w:tcBorders>
            <w:shd w:val="clear" w:color="auto" w:fill="auto"/>
            <w:vAlign w:val="bottom"/>
          </w:tcPr>
          <w:p w14:paraId="000000B3" w14:textId="77777777" w:rsidR="001A46E5" w:rsidRDefault="001A46E5">
            <w:pPr>
              <w:rPr>
                <w:rFonts w:ascii="Arial" w:eastAsia="Arial" w:hAnsi="Arial" w:cs="Arial"/>
                <w:color w:val="000000"/>
                <w:sz w:val="20"/>
                <w:szCs w:val="20"/>
              </w:rPr>
            </w:pPr>
          </w:p>
        </w:tc>
      </w:tr>
      <w:tr w:rsidR="001A46E5" w14:paraId="5AFD46A5" w14:textId="77777777">
        <w:trPr>
          <w:gridAfter w:val="1"/>
          <w:wAfter w:w="3828" w:type="dxa"/>
          <w:trHeight w:val="315"/>
        </w:trPr>
        <w:tc>
          <w:tcPr>
            <w:tcW w:w="9498" w:type="dxa"/>
            <w:tcBorders>
              <w:top w:val="nil"/>
              <w:left w:val="nil"/>
              <w:bottom w:val="nil"/>
              <w:right w:val="nil"/>
            </w:tcBorders>
            <w:shd w:val="clear" w:color="auto" w:fill="auto"/>
            <w:vAlign w:val="bottom"/>
          </w:tcPr>
          <w:p w14:paraId="000000B4" w14:textId="77777777" w:rsidR="001A46E5" w:rsidRDefault="001A46E5">
            <w:pPr>
              <w:rPr>
                <w:rFonts w:ascii="Arial" w:eastAsia="Arial" w:hAnsi="Arial" w:cs="Arial"/>
                <w:color w:val="000000"/>
                <w:sz w:val="20"/>
                <w:szCs w:val="20"/>
              </w:rPr>
            </w:pPr>
          </w:p>
        </w:tc>
      </w:tr>
      <w:tr w:rsidR="001A46E5" w14:paraId="418C1C3B" w14:textId="77777777">
        <w:trPr>
          <w:gridAfter w:val="1"/>
          <w:wAfter w:w="3828" w:type="dxa"/>
          <w:trHeight w:val="260"/>
        </w:trPr>
        <w:tc>
          <w:tcPr>
            <w:tcW w:w="9498" w:type="dxa"/>
            <w:tcBorders>
              <w:top w:val="nil"/>
              <w:left w:val="nil"/>
              <w:bottom w:val="nil"/>
              <w:right w:val="nil"/>
            </w:tcBorders>
            <w:shd w:val="clear" w:color="auto" w:fill="auto"/>
            <w:vAlign w:val="bottom"/>
          </w:tcPr>
          <w:p w14:paraId="000000B5" w14:textId="77777777" w:rsidR="001A46E5" w:rsidRDefault="001A46E5">
            <w:pPr>
              <w:rPr>
                <w:rFonts w:ascii="Arial" w:eastAsia="Arial" w:hAnsi="Arial" w:cs="Arial"/>
                <w:color w:val="000000"/>
                <w:sz w:val="20"/>
                <w:szCs w:val="20"/>
              </w:rPr>
            </w:pPr>
          </w:p>
          <w:p w14:paraId="000000B6" w14:textId="77777777" w:rsidR="001A46E5" w:rsidRDefault="001A46E5">
            <w:pPr>
              <w:rPr>
                <w:rFonts w:ascii="Arial" w:eastAsia="Arial" w:hAnsi="Arial" w:cs="Arial"/>
                <w:color w:val="000000"/>
                <w:sz w:val="20"/>
                <w:szCs w:val="20"/>
              </w:rPr>
            </w:pPr>
          </w:p>
        </w:tc>
      </w:tr>
      <w:tr w:rsidR="001A46E5" w14:paraId="3723D9AD" w14:textId="77777777">
        <w:trPr>
          <w:gridAfter w:val="1"/>
          <w:wAfter w:w="3828" w:type="dxa"/>
          <w:trHeight w:val="260"/>
        </w:trPr>
        <w:tc>
          <w:tcPr>
            <w:tcW w:w="9498" w:type="dxa"/>
            <w:tcBorders>
              <w:top w:val="nil"/>
              <w:left w:val="nil"/>
              <w:bottom w:val="nil"/>
              <w:right w:val="nil"/>
            </w:tcBorders>
            <w:shd w:val="clear" w:color="auto" w:fill="auto"/>
            <w:vAlign w:val="bottom"/>
          </w:tcPr>
          <w:p w14:paraId="000000B7" w14:textId="77777777" w:rsidR="001A46E5" w:rsidRDefault="001A46E5">
            <w:pPr>
              <w:rPr>
                <w:rFonts w:ascii="Arial" w:eastAsia="Arial" w:hAnsi="Arial" w:cs="Arial"/>
                <w:color w:val="000000"/>
                <w:sz w:val="20"/>
                <w:szCs w:val="20"/>
              </w:rPr>
            </w:pPr>
          </w:p>
          <w:p w14:paraId="000000B8" w14:textId="77777777" w:rsidR="001A46E5" w:rsidRDefault="001A46E5">
            <w:pPr>
              <w:rPr>
                <w:rFonts w:ascii="Arial" w:eastAsia="Arial" w:hAnsi="Arial" w:cs="Arial"/>
                <w:color w:val="000000"/>
                <w:sz w:val="20"/>
                <w:szCs w:val="20"/>
              </w:rPr>
            </w:pPr>
          </w:p>
        </w:tc>
      </w:tr>
      <w:tr w:rsidR="001A46E5" w14:paraId="75629E4E" w14:textId="77777777">
        <w:trPr>
          <w:gridAfter w:val="1"/>
          <w:wAfter w:w="3828" w:type="dxa"/>
          <w:trHeight w:val="260"/>
        </w:trPr>
        <w:tc>
          <w:tcPr>
            <w:tcW w:w="9498" w:type="dxa"/>
            <w:tcBorders>
              <w:top w:val="nil"/>
              <w:left w:val="nil"/>
              <w:bottom w:val="nil"/>
              <w:right w:val="nil"/>
            </w:tcBorders>
            <w:shd w:val="clear" w:color="auto" w:fill="auto"/>
            <w:vAlign w:val="bottom"/>
          </w:tcPr>
          <w:p w14:paraId="000000B9" w14:textId="77777777" w:rsidR="001A46E5" w:rsidRDefault="001A46E5">
            <w:pPr>
              <w:rPr>
                <w:rFonts w:ascii="Arial" w:eastAsia="Arial" w:hAnsi="Arial" w:cs="Arial"/>
                <w:color w:val="000000"/>
                <w:sz w:val="20"/>
                <w:szCs w:val="20"/>
              </w:rPr>
            </w:pPr>
          </w:p>
        </w:tc>
      </w:tr>
    </w:tbl>
    <w:p w14:paraId="000000BA" w14:textId="77777777" w:rsidR="001A46E5" w:rsidRDefault="001A46E5">
      <w:pPr>
        <w:spacing w:line="276" w:lineRule="auto"/>
        <w:jc w:val="both"/>
        <w:rPr>
          <w:color w:val="222222"/>
          <w:sz w:val="22"/>
          <w:szCs w:val="22"/>
          <w:highlight w:val="white"/>
        </w:rPr>
      </w:pPr>
    </w:p>
    <w:sectPr w:rsidR="001A46E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CF9C" w14:textId="77777777" w:rsidR="00F65B9D" w:rsidRDefault="00F65B9D">
      <w:r>
        <w:separator/>
      </w:r>
    </w:p>
  </w:endnote>
  <w:endnote w:type="continuationSeparator" w:id="0">
    <w:p w14:paraId="78E9A186" w14:textId="77777777" w:rsidR="00F65B9D" w:rsidRDefault="00F6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1A46E5" w:rsidRDefault="00F65B9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BF" w14:textId="77777777" w:rsidR="001A46E5" w:rsidRDefault="001A46E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303D9D02" w:rsidR="001A46E5" w:rsidRDefault="00F65B9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F7921">
      <w:rPr>
        <w:noProof/>
        <w:color w:val="000000"/>
      </w:rPr>
      <w:t>1</w:t>
    </w:r>
    <w:r>
      <w:rPr>
        <w:color w:val="000000"/>
      </w:rPr>
      <w:fldChar w:fldCharType="end"/>
    </w:r>
  </w:p>
  <w:p w14:paraId="000000BD" w14:textId="77777777" w:rsidR="001A46E5" w:rsidRDefault="001A46E5">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1A46E5" w:rsidRDefault="001A46E5">
    <w:pPr>
      <w:pBdr>
        <w:top w:val="nil"/>
        <w:left w:val="nil"/>
        <w:bottom w:val="nil"/>
        <w:right w:val="nil"/>
        <w:between w:val="nil"/>
      </w:pBdr>
      <w:tabs>
        <w:tab w:val="center" w:pos="4680"/>
        <w:tab w:val="right" w:pos="9360"/>
      </w:tabs>
      <w:jc w:val="right"/>
      <w:rPr>
        <w:color w:val="000000"/>
      </w:rPr>
    </w:pPr>
  </w:p>
  <w:p w14:paraId="000000C1" w14:textId="77777777" w:rsidR="001A46E5" w:rsidRDefault="001A46E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0136" w14:textId="77777777" w:rsidR="00F65B9D" w:rsidRDefault="00F65B9D">
      <w:r>
        <w:separator/>
      </w:r>
    </w:p>
  </w:footnote>
  <w:footnote w:type="continuationSeparator" w:id="0">
    <w:p w14:paraId="748C6DD8" w14:textId="77777777" w:rsidR="00F65B9D" w:rsidRDefault="00F65B9D">
      <w:r>
        <w:continuationSeparator/>
      </w:r>
    </w:p>
  </w:footnote>
  <w:footnote w:id="1">
    <w:p w14:paraId="000000BB" w14:textId="77777777" w:rsidR="001A46E5" w:rsidRDefault="00F65B9D">
      <w:pPr>
        <w:pBdr>
          <w:top w:val="nil"/>
          <w:left w:val="nil"/>
          <w:bottom w:val="nil"/>
          <w:right w:val="nil"/>
          <w:between w:val="nil"/>
        </w:pBdr>
        <w:jc w:val="both"/>
        <w:rPr>
          <w:i/>
          <w:color w:val="000000"/>
          <w:sz w:val="18"/>
          <w:szCs w:val="18"/>
        </w:rPr>
      </w:pPr>
      <w:r>
        <w:rPr>
          <w:rStyle w:val="FootnoteReference"/>
        </w:rPr>
        <w:footnoteRef/>
      </w:r>
      <w:r>
        <w:rPr>
          <w:color w:val="000000"/>
          <w:sz w:val="18"/>
          <w:szCs w:val="18"/>
        </w:rPr>
        <w:t xml:space="preserve"> Mary Dozier, Joan Kaufman, Roger Kobak, Thomas G. O’Connor, Abraham </w:t>
      </w:r>
      <w:proofErr w:type="spellStart"/>
      <w:r>
        <w:rPr>
          <w:color w:val="000000"/>
          <w:sz w:val="18"/>
          <w:szCs w:val="18"/>
        </w:rPr>
        <w:t>Sagi</w:t>
      </w:r>
      <w:proofErr w:type="spellEnd"/>
      <w:r>
        <w:rPr>
          <w:color w:val="000000"/>
          <w:sz w:val="18"/>
          <w:szCs w:val="18"/>
        </w:rPr>
        <w:t xml:space="preserve">-Schwartz, Stephen Scott, Carole </w:t>
      </w:r>
      <w:proofErr w:type="spellStart"/>
      <w:r>
        <w:rPr>
          <w:color w:val="000000"/>
          <w:sz w:val="18"/>
          <w:szCs w:val="18"/>
        </w:rPr>
        <w:t>Shauffer</w:t>
      </w:r>
      <w:proofErr w:type="spellEnd"/>
      <w:r>
        <w:rPr>
          <w:color w:val="000000"/>
          <w:sz w:val="18"/>
          <w:szCs w:val="18"/>
        </w:rPr>
        <w:t xml:space="preserve">, Judith Smetana, Marinus H. van </w:t>
      </w:r>
      <w:proofErr w:type="spellStart"/>
      <w:r>
        <w:rPr>
          <w:color w:val="000000"/>
          <w:sz w:val="18"/>
          <w:szCs w:val="18"/>
        </w:rPr>
        <w:t>IJzendoorn</w:t>
      </w:r>
      <w:proofErr w:type="spellEnd"/>
      <w:r>
        <w:rPr>
          <w:color w:val="000000"/>
          <w:sz w:val="18"/>
          <w:szCs w:val="18"/>
        </w:rPr>
        <w:t xml:space="preserve">, and Charles </w:t>
      </w:r>
      <w:proofErr w:type="spellStart"/>
      <w:r>
        <w:rPr>
          <w:color w:val="000000"/>
          <w:sz w:val="18"/>
          <w:szCs w:val="18"/>
        </w:rPr>
        <w:t>Zeanah</w:t>
      </w:r>
      <w:proofErr w:type="spellEnd"/>
      <w:r>
        <w:rPr>
          <w:color w:val="000000"/>
          <w:sz w:val="18"/>
          <w:szCs w:val="18"/>
        </w:rPr>
        <w:t xml:space="preserve">, </w:t>
      </w:r>
      <w:r>
        <w:rPr>
          <w:i/>
          <w:color w:val="000000"/>
          <w:sz w:val="18"/>
          <w:szCs w:val="18"/>
        </w:rPr>
        <w:t>Consensus Statement on Group Care for Children and Adolescents: A Statement o</w:t>
      </w:r>
      <w:r>
        <w:rPr>
          <w:i/>
          <w:color w:val="000000"/>
          <w:sz w:val="18"/>
          <w:szCs w:val="18"/>
        </w:rPr>
        <w:t xml:space="preserve">f Policy of the American </w:t>
      </w:r>
      <w:proofErr w:type="spellStart"/>
      <w:r>
        <w:rPr>
          <w:i/>
          <w:color w:val="000000"/>
          <w:sz w:val="18"/>
          <w:szCs w:val="18"/>
        </w:rPr>
        <w:t>Orthopsychiatric</w:t>
      </w:r>
      <w:proofErr w:type="spellEnd"/>
      <w:r>
        <w:rPr>
          <w:i/>
          <w:color w:val="000000"/>
          <w:sz w:val="18"/>
          <w:szCs w:val="18"/>
        </w:rPr>
        <w:t xml:space="preserve"> Association</w:t>
      </w:r>
      <w:r>
        <w:rPr>
          <w:color w:val="000000"/>
          <w:sz w:val="18"/>
          <w:szCs w:val="18"/>
        </w:rPr>
        <w:t xml:space="preserve">, 84 American Journal of Orthopsychiatry 219-225 (2014). </w:t>
      </w:r>
      <w:r>
        <w:rPr>
          <w:i/>
          <w:color w:val="000000"/>
          <w:sz w:val="18"/>
          <w:szCs w:val="18"/>
        </w:rPr>
        <w:t>See</w:t>
      </w:r>
      <w:r>
        <w:rPr>
          <w:color w:val="000000"/>
          <w:sz w:val="18"/>
          <w:szCs w:val="18"/>
        </w:rPr>
        <w:t xml:space="preserve"> further discussion in Section III </w:t>
      </w:r>
      <w:r>
        <w:rPr>
          <w:i/>
          <w:color w:val="000000"/>
          <w:sz w:val="18"/>
          <w:szCs w:val="18"/>
        </w:rPr>
        <w:t xml:space="preserve">infra.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A59"/>
    <w:multiLevelType w:val="multilevel"/>
    <w:tmpl w:val="C1F444D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233D9"/>
    <w:multiLevelType w:val="multilevel"/>
    <w:tmpl w:val="89B68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843157"/>
    <w:multiLevelType w:val="multilevel"/>
    <w:tmpl w:val="4502A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7B50C8"/>
    <w:multiLevelType w:val="multilevel"/>
    <w:tmpl w:val="9E5A5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0651F9"/>
    <w:multiLevelType w:val="multilevel"/>
    <w:tmpl w:val="08249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E5"/>
    <w:rsid w:val="001A46E5"/>
    <w:rsid w:val="005F7921"/>
    <w:rsid w:val="009A5E54"/>
    <w:rsid w:val="00F6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CF292-A226-45BD-8CC5-DE81CB66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63133"/>
    <w:pPr>
      <w:ind w:left="720"/>
      <w:contextualSpacing/>
    </w:pPr>
  </w:style>
  <w:style w:type="paragraph" w:styleId="Revision">
    <w:name w:val="Revision"/>
    <w:hidden/>
    <w:uiPriority w:val="99"/>
    <w:semiHidden/>
    <w:rsid w:val="004311F9"/>
  </w:style>
  <w:style w:type="character" w:styleId="CommentReference">
    <w:name w:val="annotation reference"/>
    <w:basedOn w:val="DefaultParagraphFont"/>
    <w:uiPriority w:val="99"/>
    <w:semiHidden/>
    <w:unhideWhenUsed/>
    <w:rsid w:val="004311F9"/>
    <w:rPr>
      <w:sz w:val="16"/>
      <w:szCs w:val="16"/>
    </w:rPr>
  </w:style>
  <w:style w:type="paragraph" w:styleId="CommentText">
    <w:name w:val="annotation text"/>
    <w:basedOn w:val="Normal"/>
    <w:link w:val="CommentTextChar"/>
    <w:uiPriority w:val="99"/>
    <w:semiHidden/>
    <w:unhideWhenUsed/>
    <w:rsid w:val="004311F9"/>
    <w:rPr>
      <w:sz w:val="20"/>
      <w:szCs w:val="20"/>
    </w:rPr>
  </w:style>
  <w:style w:type="character" w:customStyle="1" w:styleId="CommentTextChar">
    <w:name w:val="Comment Text Char"/>
    <w:basedOn w:val="DefaultParagraphFont"/>
    <w:link w:val="CommentText"/>
    <w:uiPriority w:val="99"/>
    <w:semiHidden/>
    <w:rsid w:val="004311F9"/>
    <w:rPr>
      <w:sz w:val="20"/>
      <w:szCs w:val="20"/>
    </w:rPr>
  </w:style>
  <w:style w:type="paragraph" w:styleId="CommentSubject">
    <w:name w:val="annotation subject"/>
    <w:basedOn w:val="CommentText"/>
    <w:next w:val="CommentText"/>
    <w:link w:val="CommentSubjectChar"/>
    <w:uiPriority w:val="99"/>
    <w:semiHidden/>
    <w:unhideWhenUsed/>
    <w:rsid w:val="004311F9"/>
    <w:rPr>
      <w:b/>
      <w:bCs/>
    </w:rPr>
  </w:style>
  <w:style w:type="character" w:customStyle="1" w:styleId="CommentSubjectChar">
    <w:name w:val="Comment Subject Char"/>
    <w:basedOn w:val="CommentTextChar"/>
    <w:link w:val="CommentSubject"/>
    <w:uiPriority w:val="99"/>
    <w:semiHidden/>
    <w:rsid w:val="004311F9"/>
    <w:rPr>
      <w:b/>
      <w:bCs/>
      <w:sz w:val="20"/>
      <w:szCs w:val="20"/>
    </w:rPr>
  </w:style>
  <w:style w:type="paragraph" w:styleId="NormalWeb">
    <w:name w:val="Normal (Web)"/>
    <w:basedOn w:val="Normal"/>
    <w:uiPriority w:val="99"/>
    <w:unhideWhenUsed/>
    <w:rsid w:val="00C83100"/>
    <w:pPr>
      <w:spacing w:before="100" w:beforeAutospacing="1" w:after="100" w:afterAutospacing="1"/>
    </w:pPr>
    <w:rPr>
      <w:rFonts w:ascii="Times New Roman" w:eastAsia="Times New Roman" w:hAnsi="Times New Roman" w:cs="Times New Roman"/>
      <w:lang w:val="en-GB"/>
    </w:rPr>
  </w:style>
  <w:style w:type="character" w:customStyle="1" w:styleId="FootnoteTextChar">
    <w:name w:val="Footnote Text Char"/>
    <w:basedOn w:val="DefaultParagraphFont"/>
    <w:link w:val="FootnoteText"/>
    <w:uiPriority w:val="99"/>
    <w:qFormat/>
    <w:rsid w:val="00CE21E2"/>
    <w:rPr>
      <w:sz w:val="20"/>
      <w:szCs w:val="20"/>
    </w:rPr>
  </w:style>
  <w:style w:type="character" w:customStyle="1" w:styleId="FootnoteCharacters">
    <w:name w:val="Footnote Characters"/>
    <w:basedOn w:val="DefaultParagraphFont"/>
    <w:uiPriority w:val="99"/>
    <w:semiHidden/>
    <w:unhideWhenUsed/>
    <w:qFormat/>
    <w:rsid w:val="00CE21E2"/>
    <w:rPr>
      <w:vertAlign w:val="superscript"/>
    </w:rPr>
  </w:style>
  <w:style w:type="character" w:customStyle="1" w:styleId="FootnoteAnchor">
    <w:name w:val="Footnote Anchor"/>
    <w:rsid w:val="00CE21E2"/>
    <w:rPr>
      <w:vertAlign w:val="superscript"/>
    </w:rPr>
  </w:style>
  <w:style w:type="paragraph" w:styleId="FootnoteText">
    <w:name w:val="footnote text"/>
    <w:basedOn w:val="Normal"/>
    <w:link w:val="FootnoteTextChar"/>
    <w:uiPriority w:val="99"/>
    <w:unhideWhenUsed/>
    <w:rsid w:val="00CE21E2"/>
    <w:rPr>
      <w:sz w:val="20"/>
      <w:szCs w:val="20"/>
    </w:rPr>
  </w:style>
  <w:style w:type="character" w:customStyle="1" w:styleId="FootnoteTextChar1">
    <w:name w:val="Footnote Text Char1"/>
    <w:basedOn w:val="DefaultParagraphFont"/>
    <w:uiPriority w:val="99"/>
    <w:semiHidden/>
    <w:rsid w:val="00CE21E2"/>
    <w:rPr>
      <w:sz w:val="20"/>
      <w:szCs w:val="20"/>
    </w:rPr>
  </w:style>
  <w:style w:type="character" w:styleId="FootnoteReference">
    <w:name w:val="footnote reference"/>
    <w:aliases w:val="Texto de nota al pie,Footnotes refss,Appel note de bas de page,referencia nota al pie,BVI fnr,Footnote number,f,4_G,16 Point,Superscript 6 Point,Texto nota al pie,Footnote Reference Char3,Footnote Reference Char1 Char,Footnote symbol"/>
    <w:basedOn w:val="DefaultParagraphFont"/>
    <w:link w:val="BVIfnrCarCarCarCar1"/>
    <w:uiPriority w:val="99"/>
    <w:unhideWhenUsed/>
    <w:rsid w:val="00CE21E2"/>
    <w:rPr>
      <w:vertAlign w:val="superscript"/>
    </w:rPr>
  </w:style>
  <w:style w:type="paragraph" w:customStyle="1" w:styleId="BVIfnrCarCarCarCar1">
    <w:name w:val="BVI fnr Car Car Car Car1"/>
    <w:basedOn w:val="Normal"/>
    <w:link w:val="FootnoteReference"/>
    <w:uiPriority w:val="99"/>
    <w:rsid w:val="00CE21E2"/>
    <w:pPr>
      <w:spacing w:line="240" w:lineRule="exact"/>
    </w:pPr>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0A52"/>
    <w:pPr>
      <w:tabs>
        <w:tab w:val="center" w:pos="4680"/>
        <w:tab w:val="right" w:pos="9360"/>
      </w:tabs>
    </w:pPr>
  </w:style>
  <w:style w:type="character" w:customStyle="1" w:styleId="HeaderChar">
    <w:name w:val="Header Char"/>
    <w:basedOn w:val="DefaultParagraphFont"/>
    <w:link w:val="Header"/>
    <w:uiPriority w:val="99"/>
    <w:rsid w:val="00740A52"/>
  </w:style>
  <w:style w:type="paragraph" w:styleId="Footer">
    <w:name w:val="footer"/>
    <w:basedOn w:val="Normal"/>
    <w:link w:val="FooterChar"/>
    <w:uiPriority w:val="99"/>
    <w:unhideWhenUsed/>
    <w:rsid w:val="00740A52"/>
    <w:pPr>
      <w:tabs>
        <w:tab w:val="center" w:pos="4680"/>
        <w:tab w:val="right" w:pos="9360"/>
      </w:tabs>
    </w:pPr>
  </w:style>
  <w:style w:type="character" w:customStyle="1" w:styleId="FooterChar">
    <w:name w:val="Footer Char"/>
    <w:basedOn w:val="DefaultParagraphFont"/>
    <w:link w:val="Footer"/>
    <w:uiPriority w:val="99"/>
    <w:rsid w:val="00740A52"/>
  </w:style>
  <w:style w:type="character" w:styleId="PageNumber">
    <w:name w:val="page number"/>
    <w:basedOn w:val="DefaultParagraphFont"/>
    <w:uiPriority w:val="99"/>
    <w:semiHidden/>
    <w:unhideWhenUsed/>
    <w:rsid w:val="000A5310"/>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p2jzf7LftnOrjkhb3T2V8dcZyA==">AMUW2mVZqHuh49cWTSbYYOAkpaiqP5Q7u/S04O1SNrmwkWIwkT2JgOwY2GKYUbmLWMnNZURlecg2jLjeagETjxCNjdftLavoQsfTk3oWgJ6N6TRSUMEInTk=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Rosenthal</dc:creator>
  <cp:lastModifiedBy>Zsófia Bajnay</cp:lastModifiedBy>
  <cp:revision>2</cp:revision>
  <dcterms:created xsi:type="dcterms:W3CDTF">2021-08-02T08:48:00Z</dcterms:created>
  <dcterms:modified xsi:type="dcterms:W3CDTF">2021-08-02T08:48:00Z</dcterms:modified>
</cp:coreProperties>
</file>