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F8818" w14:textId="21A91795" w:rsidR="00C01502" w:rsidRPr="00E2757C" w:rsidRDefault="72B17112" w:rsidP="00E2757C">
      <w:pPr>
        <w:jc w:val="center"/>
        <w:rPr>
          <w:rFonts w:asciiTheme="minorHAnsi" w:hAnsiTheme="minorHAnsi" w:cstheme="minorHAnsi"/>
          <w:b/>
          <w:bCs/>
          <w:sz w:val="28"/>
          <w:szCs w:val="28"/>
        </w:rPr>
      </w:pPr>
      <w:bookmarkStart w:id="0" w:name="_GoBack"/>
      <w:bookmarkEnd w:id="0"/>
      <w:r w:rsidRPr="00E2757C">
        <w:rPr>
          <w:rFonts w:asciiTheme="minorHAnsi" w:hAnsiTheme="minorHAnsi" w:cstheme="minorHAnsi"/>
          <w:b/>
          <w:bCs/>
          <w:sz w:val="28"/>
          <w:szCs w:val="28"/>
        </w:rPr>
        <w:t>MARINOV v BULGARIA</w:t>
      </w:r>
    </w:p>
    <w:p w14:paraId="75506E75" w14:textId="3CB210E4" w:rsidR="00C01502" w:rsidRPr="00E2757C" w:rsidRDefault="72B17112" w:rsidP="00E2757C">
      <w:pPr>
        <w:jc w:val="center"/>
        <w:rPr>
          <w:rFonts w:asciiTheme="minorHAnsi" w:hAnsiTheme="minorHAnsi" w:cstheme="minorHAnsi"/>
          <w:b/>
          <w:bCs/>
          <w:sz w:val="28"/>
          <w:szCs w:val="28"/>
        </w:rPr>
      </w:pPr>
      <w:r w:rsidRPr="00E2757C">
        <w:rPr>
          <w:rFonts w:asciiTheme="minorHAnsi" w:hAnsiTheme="minorHAnsi" w:cstheme="minorHAnsi"/>
          <w:b/>
          <w:bCs/>
          <w:sz w:val="28"/>
          <w:szCs w:val="28"/>
        </w:rPr>
        <w:t>Application No. 26081/17</w:t>
      </w:r>
    </w:p>
    <w:p w14:paraId="29AA7C89" w14:textId="77777777" w:rsidR="00C01502" w:rsidRPr="00E2757C" w:rsidRDefault="72B17112" w:rsidP="72B17112">
      <w:pPr>
        <w:spacing w:line="240" w:lineRule="auto"/>
        <w:ind w:left="720" w:hanging="720"/>
        <w:jc w:val="center"/>
        <w:rPr>
          <w:rFonts w:asciiTheme="minorHAnsi" w:eastAsia="MS Mincho" w:hAnsiTheme="minorHAnsi" w:cstheme="minorHAnsi"/>
          <w:b/>
          <w:bCs/>
          <w:szCs w:val="24"/>
        </w:rPr>
      </w:pPr>
      <w:r w:rsidRPr="00E2757C">
        <w:rPr>
          <w:rFonts w:asciiTheme="minorHAnsi" w:eastAsia="MS Mincho" w:hAnsiTheme="minorHAnsi" w:cstheme="minorHAnsi"/>
          <w:b/>
          <w:bCs/>
          <w:szCs w:val="24"/>
        </w:rPr>
        <w:t>___________________________________________________</w:t>
      </w:r>
    </w:p>
    <w:p w14:paraId="0C785B54" w14:textId="77777777" w:rsidR="00C01502" w:rsidRPr="00E2757C" w:rsidRDefault="00C01502" w:rsidP="00C01502">
      <w:pPr>
        <w:spacing w:line="240" w:lineRule="auto"/>
        <w:ind w:left="720" w:hanging="720"/>
        <w:rPr>
          <w:rFonts w:asciiTheme="minorHAnsi" w:eastAsia="MS Mincho" w:hAnsiTheme="minorHAnsi" w:cstheme="minorHAnsi"/>
          <w:b/>
          <w:szCs w:val="24"/>
        </w:rPr>
      </w:pPr>
    </w:p>
    <w:p w14:paraId="00546AE7" w14:textId="77777777" w:rsidR="00C01502" w:rsidRPr="00E2757C" w:rsidRDefault="72B17112" w:rsidP="72B17112">
      <w:pPr>
        <w:spacing w:line="240" w:lineRule="auto"/>
        <w:ind w:left="720" w:hanging="720"/>
        <w:jc w:val="center"/>
        <w:rPr>
          <w:rFonts w:asciiTheme="minorHAnsi" w:eastAsia="MS Mincho" w:hAnsiTheme="minorHAnsi" w:cstheme="minorHAnsi"/>
          <w:b/>
          <w:bCs/>
          <w:sz w:val="28"/>
          <w:szCs w:val="28"/>
        </w:rPr>
      </w:pPr>
      <w:r w:rsidRPr="00E2757C">
        <w:rPr>
          <w:rFonts w:asciiTheme="minorHAnsi" w:eastAsia="MS Mincho" w:hAnsiTheme="minorHAnsi" w:cstheme="minorHAnsi"/>
          <w:b/>
          <w:bCs/>
          <w:sz w:val="28"/>
          <w:szCs w:val="28"/>
        </w:rPr>
        <w:t>WRITTEN SUBMISSIONS ON BEHALF OF VALIDITY FOUNDATION – MENTAL DISABILITY ADVOCACY CENTER</w:t>
      </w:r>
    </w:p>
    <w:p w14:paraId="4195DB09" w14:textId="77777777" w:rsidR="00C01502" w:rsidRPr="00E2757C" w:rsidRDefault="72B17112" w:rsidP="72B17112">
      <w:pPr>
        <w:spacing w:line="240" w:lineRule="auto"/>
        <w:ind w:left="720" w:hanging="720"/>
        <w:jc w:val="center"/>
        <w:rPr>
          <w:rFonts w:asciiTheme="minorHAnsi" w:eastAsia="MS Mincho" w:hAnsiTheme="minorHAnsi" w:cstheme="minorHAnsi"/>
          <w:b/>
          <w:bCs/>
          <w:sz w:val="28"/>
          <w:szCs w:val="28"/>
        </w:rPr>
      </w:pPr>
      <w:r w:rsidRPr="00E2757C">
        <w:rPr>
          <w:rFonts w:asciiTheme="minorHAnsi" w:eastAsia="MS Mincho" w:hAnsiTheme="minorHAnsi" w:cstheme="minorHAnsi"/>
          <w:b/>
          <w:bCs/>
          <w:sz w:val="28"/>
          <w:szCs w:val="28"/>
        </w:rPr>
        <w:t>___________________________________________________</w:t>
      </w:r>
    </w:p>
    <w:p w14:paraId="2D00CE2D" w14:textId="77777777" w:rsidR="00C01502" w:rsidRPr="00E2757C" w:rsidRDefault="00C01502" w:rsidP="00C01502">
      <w:pPr>
        <w:spacing w:line="240" w:lineRule="auto"/>
        <w:jc w:val="both"/>
        <w:rPr>
          <w:rFonts w:asciiTheme="minorHAnsi" w:hAnsiTheme="minorHAnsi" w:cstheme="minorHAnsi"/>
          <w:szCs w:val="24"/>
        </w:rPr>
      </w:pPr>
    </w:p>
    <w:p w14:paraId="12F25769" w14:textId="77777777" w:rsidR="00C01502" w:rsidRPr="00301C11" w:rsidRDefault="72B17112" w:rsidP="00E2757C">
      <w:pPr>
        <w:pStyle w:val="Heading1"/>
        <w:spacing w:line="240" w:lineRule="auto"/>
        <w:rPr>
          <w:rFonts w:asciiTheme="minorHAnsi" w:hAnsiTheme="minorHAnsi" w:cstheme="minorHAnsi"/>
          <w:sz w:val="23"/>
          <w:szCs w:val="23"/>
        </w:rPr>
      </w:pPr>
      <w:r w:rsidRPr="00301C11">
        <w:rPr>
          <w:rFonts w:asciiTheme="minorHAnsi" w:hAnsiTheme="minorHAnsi" w:cstheme="minorHAnsi"/>
          <w:sz w:val="23"/>
          <w:szCs w:val="23"/>
        </w:rPr>
        <w:t>Introduction</w:t>
      </w:r>
    </w:p>
    <w:p w14:paraId="7610206C" w14:textId="77777777" w:rsidR="00C01502" w:rsidRPr="00301C11" w:rsidRDefault="00C01502" w:rsidP="00E2757C">
      <w:pPr>
        <w:spacing w:line="240" w:lineRule="auto"/>
        <w:jc w:val="both"/>
        <w:rPr>
          <w:rFonts w:asciiTheme="minorHAnsi" w:hAnsiTheme="minorHAnsi" w:cstheme="minorHAnsi"/>
          <w:sz w:val="23"/>
          <w:szCs w:val="23"/>
        </w:rPr>
      </w:pPr>
    </w:p>
    <w:p w14:paraId="7A2E2DC6" w14:textId="3F66B1A0" w:rsidR="00C01502" w:rsidRPr="00301C11" w:rsidRDefault="72B17112" w:rsidP="007C6296">
      <w:pPr>
        <w:pStyle w:val="ListParagraph"/>
        <w:numPr>
          <w:ilvl w:val="0"/>
          <w:numId w:val="1"/>
        </w:numPr>
        <w:spacing w:line="240" w:lineRule="auto"/>
        <w:ind w:left="360"/>
        <w:jc w:val="both"/>
        <w:rPr>
          <w:rFonts w:asciiTheme="minorHAnsi" w:hAnsiTheme="minorHAnsi" w:cstheme="minorHAnsi"/>
          <w:sz w:val="23"/>
          <w:szCs w:val="23"/>
          <w:lang w:val="en-US"/>
        </w:rPr>
      </w:pPr>
      <w:r w:rsidRPr="00301C11">
        <w:rPr>
          <w:rFonts w:asciiTheme="minorHAnsi" w:hAnsiTheme="minorHAnsi" w:cstheme="minorHAnsi"/>
          <w:sz w:val="23"/>
          <w:szCs w:val="23"/>
          <w:lang w:val="en-US"/>
        </w:rPr>
        <w:t xml:space="preserve">These written comments are submitted by Validity (formerly the Mental Disability Advocacy Centre (MDAC)) pursuant to leave granted by the President of the Fifth Section of the Court under Rule 44(3), Rules of Court, by way of letter dated 8 December 2017. </w:t>
      </w:r>
    </w:p>
    <w:p w14:paraId="61B929F4" w14:textId="77777777" w:rsidR="007C6296" w:rsidRPr="00301C11" w:rsidRDefault="007C6296" w:rsidP="007C6296">
      <w:pPr>
        <w:pStyle w:val="ListParagraph"/>
        <w:spacing w:line="240" w:lineRule="auto"/>
        <w:ind w:left="360"/>
        <w:jc w:val="both"/>
        <w:rPr>
          <w:rFonts w:asciiTheme="minorHAnsi" w:hAnsiTheme="minorHAnsi" w:cstheme="minorHAnsi"/>
          <w:sz w:val="23"/>
          <w:szCs w:val="23"/>
          <w:lang w:val="en-US"/>
        </w:rPr>
      </w:pPr>
    </w:p>
    <w:p w14:paraId="589EEC2E" w14:textId="09C3CA3C" w:rsidR="00C01502" w:rsidRPr="00301C11" w:rsidRDefault="00344A15" w:rsidP="00E2757C">
      <w:pPr>
        <w:pStyle w:val="Heading1"/>
        <w:rPr>
          <w:rFonts w:asciiTheme="minorHAnsi" w:hAnsiTheme="minorHAnsi" w:cstheme="minorHAnsi"/>
          <w:sz w:val="23"/>
          <w:szCs w:val="23"/>
          <w:lang w:val="en-US"/>
        </w:rPr>
      </w:pPr>
      <w:bookmarkStart w:id="1" w:name="_Hlk503344120"/>
      <w:r w:rsidRPr="00301C11">
        <w:rPr>
          <w:rFonts w:asciiTheme="minorHAnsi" w:hAnsiTheme="minorHAnsi" w:cstheme="minorHAnsi"/>
          <w:sz w:val="23"/>
          <w:szCs w:val="23"/>
          <w:lang w:val="en-US"/>
        </w:rPr>
        <w:t>Legal capacity and t</w:t>
      </w:r>
      <w:r w:rsidR="72B17112" w:rsidRPr="00301C11">
        <w:rPr>
          <w:rFonts w:asciiTheme="minorHAnsi" w:hAnsiTheme="minorHAnsi" w:cstheme="minorHAnsi"/>
          <w:sz w:val="23"/>
          <w:szCs w:val="23"/>
          <w:lang w:val="en-US"/>
        </w:rPr>
        <w:t>he right to vote in international law</w:t>
      </w:r>
      <w:bookmarkEnd w:id="1"/>
    </w:p>
    <w:p w14:paraId="63D7863D" w14:textId="77777777" w:rsidR="00C01502" w:rsidRPr="00301C11" w:rsidRDefault="00C01502" w:rsidP="00E2757C">
      <w:pPr>
        <w:spacing w:line="240" w:lineRule="auto"/>
        <w:ind w:left="360" w:hanging="360"/>
        <w:jc w:val="both"/>
        <w:rPr>
          <w:rFonts w:asciiTheme="minorHAnsi" w:hAnsiTheme="minorHAnsi" w:cstheme="minorHAnsi"/>
          <w:sz w:val="23"/>
          <w:szCs w:val="23"/>
        </w:rPr>
      </w:pPr>
    </w:p>
    <w:p w14:paraId="39DF8F05" w14:textId="71D42D40" w:rsidR="008F663B" w:rsidRPr="00301C11" w:rsidRDefault="00344A15" w:rsidP="00E2757C">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rPr>
        <w:t>The position in international human rights law is as follows:</w:t>
      </w:r>
    </w:p>
    <w:p w14:paraId="73D8D999" w14:textId="1D60CC89" w:rsidR="00344A15" w:rsidRPr="00301C11" w:rsidRDefault="00344A15" w:rsidP="00E2757C">
      <w:pPr>
        <w:pStyle w:val="ListParagraph"/>
        <w:numPr>
          <w:ilvl w:val="0"/>
          <w:numId w:val="20"/>
        </w:numPr>
        <w:spacing w:line="240" w:lineRule="auto"/>
        <w:ind w:left="720"/>
        <w:jc w:val="both"/>
        <w:rPr>
          <w:rFonts w:asciiTheme="minorHAnsi" w:hAnsiTheme="minorHAnsi" w:cstheme="minorHAnsi"/>
          <w:sz w:val="23"/>
          <w:szCs w:val="23"/>
        </w:rPr>
      </w:pPr>
      <w:r w:rsidRPr="00301C11">
        <w:rPr>
          <w:rFonts w:asciiTheme="minorHAnsi" w:hAnsiTheme="minorHAnsi" w:cstheme="minorHAnsi"/>
          <w:sz w:val="23"/>
          <w:szCs w:val="23"/>
        </w:rPr>
        <w:t>People with disabilities should be able to exercise the right to vote on an equal basis with other citizens.</w:t>
      </w:r>
    </w:p>
    <w:p w14:paraId="25935DB1" w14:textId="393A6EEA" w:rsidR="00344A15" w:rsidRPr="00301C11" w:rsidRDefault="00344A15" w:rsidP="00E2757C">
      <w:pPr>
        <w:pStyle w:val="ListParagraph"/>
        <w:numPr>
          <w:ilvl w:val="0"/>
          <w:numId w:val="20"/>
        </w:numPr>
        <w:spacing w:line="240" w:lineRule="auto"/>
        <w:ind w:left="720"/>
        <w:jc w:val="both"/>
        <w:rPr>
          <w:rFonts w:asciiTheme="minorHAnsi" w:hAnsiTheme="minorHAnsi" w:cstheme="minorHAnsi"/>
          <w:sz w:val="23"/>
          <w:szCs w:val="23"/>
        </w:rPr>
      </w:pPr>
      <w:r w:rsidRPr="00301C11">
        <w:rPr>
          <w:rFonts w:asciiTheme="minorHAnsi" w:hAnsiTheme="minorHAnsi" w:cstheme="minorHAnsi"/>
          <w:sz w:val="23"/>
          <w:szCs w:val="23"/>
        </w:rPr>
        <w:t xml:space="preserve">As we do not test the capability to </w:t>
      </w:r>
      <w:r w:rsidR="00CF61BD" w:rsidRPr="00301C11">
        <w:rPr>
          <w:rFonts w:asciiTheme="minorHAnsi" w:hAnsiTheme="minorHAnsi" w:cstheme="minorHAnsi"/>
          <w:sz w:val="23"/>
          <w:szCs w:val="23"/>
        </w:rPr>
        <w:t>vote</w:t>
      </w:r>
      <w:r w:rsidRPr="00301C11">
        <w:rPr>
          <w:rFonts w:asciiTheme="minorHAnsi" w:hAnsiTheme="minorHAnsi" w:cstheme="minorHAnsi"/>
          <w:sz w:val="23"/>
          <w:szCs w:val="23"/>
        </w:rPr>
        <w:t xml:space="preserve"> of other citizens, we should not test the capability to vote of people with disabilities. To do so </w:t>
      </w:r>
      <w:r w:rsidR="00CF61BD" w:rsidRPr="00301C11">
        <w:rPr>
          <w:rFonts w:asciiTheme="minorHAnsi" w:hAnsiTheme="minorHAnsi" w:cstheme="minorHAnsi"/>
          <w:sz w:val="23"/>
          <w:szCs w:val="23"/>
        </w:rPr>
        <w:t>is</w:t>
      </w:r>
      <w:r w:rsidRPr="00301C11">
        <w:rPr>
          <w:rFonts w:asciiTheme="minorHAnsi" w:hAnsiTheme="minorHAnsi" w:cstheme="minorHAnsi"/>
          <w:sz w:val="23"/>
          <w:szCs w:val="23"/>
        </w:rPr>
        <w:t xml:space="preserve"> discriminatory.</w:t>
      </w:r>
    </w:p>
    <w:p w14:paraId="7753B675" w14:textId="557D6297" w:rsidR="00757D8D" w:rsidRPr="00301C11" w:rsidRDefault="00757D8D" w:rsidP="00E2757C">
      <w:pPr>
        <w:pStyle w:val="ListParagraph"/>
        <w:numPr>
          <w:ilvl w:val="0"/>
          <w:numId w:val="20"/>
        </w:numPr>
        <w:spacing w:line="240" w:lineRule="auto"/>
        <w:ind w:left="720"/>
        <w:jc w:val="both"/>
        <w:rPr>
          <w:rFonts w:asciiTheme="minorHAnsi" w:hAnsiTheme="minorHAnsi" w:cstheme="minorHAnsi"/>
          <w:sz w:val="23"/>
          <w:szCs w:val="23"/>
        </w:rPr>
      </w:pPr>
      <w:r w:rsidRPr="00301C11">
        <w:rPr>
          <w:rFonts w:asciiTheme="minorHAnsi" w:hAnsiTheme="minorHAnsi" w:cstheme="minorHAnsi"/>
          <w:sz w:val="23"/>
          <w:szCs w:val="23"/>
        </w:rPr>
        <w:t xml:space="preserve">People with disabilities must be provided with support, reasonable accommodations and accessibility measures </w:t>
      </w:r>
      <w:r w:rsidR="00CF61BD" w:rsidRPr="00301C11">
        <w:rPr>
          <w:rFonts w:asciiTheme="minorHAnsi" w:hAnsiTheme="minorHAnsi" w:cstheme="minorHAnsi"/>
          <w:sz w:val="23"/>
          <w:szCs w:val="23"/>
        </w:rPr>
        <w:t xml:space="preserve">must be </w:t>
      </w:r>
      <w:r w:rsidRPr="00301C11">
        <w:rPr>
          <w:rFonts w:asciiTheme="minorHAnsi" w:hAnsiTheme="minorHAnsi" w:cstheme="minorHAnsi"/>
          <w:sz w:val="23"/>
          <w:szCs w:val="23"/>
        </w:rPr>
        <w:t>put in place to ensure the</w:t>
      </w:r>
      <w:r w:rsidR="00CF61BD" w:rsidRPr="00301C11">
        <w:rPr>
          <w:rFonts w:asciiTheme="minorHAnsi" w:hAnsiTheme="minorHAnsi" w:cstheme="minorHAnsi"/>
          <w:sz w:val="23"/>
          <w:szCs w:val="23"/>
        </w:rPr>
        <w:t>ir</w:t>
      </w:r>
      <w:r w:rsidRPr="00301C11">
        <w:rPr>
          <w:rFonts w:asciiTheme="minorHAnsi" w:hAnsiTheme="minorHAnsi" w:cstheme="minorHAnsi"/>
          <w:sz w:val="23"/>
          <w:szCs w:val="23"/>
        </w:rPr>
        <w:t xml:space="preserve"> </w:t>
      </w:r>
      <w:r w:rsidR="00CF61BD" w:rsidRPr="00301C11">
        <w:rPr>
          <w:rFonts w:asciiTheme="minorHAnsi" w:hAnsiTheme="minorHAnsi" w:cstheme="minorHAnsi"/>
          <w:sz w:val="23"/>
          <w:szCs w:val="23"/>
        </w:rPr>
        <w:t xml:space="preserve">full and effective </w:t>
      </w:r>
      <w:r w:rsidRPr="00301C11">
        <w:rPr>
          <w:rFonts w:asciiTheme="minorHAnsi" w:hAnsiTheme="minorHAnsi" w:cstheme="minorHAnsi"/>
          <w:sz w:val="23"/>
          <w:szCs w:val="23"/>
        </w:rPr>
        <w:t>right to vote.</w:t>
      </w:r>
    </w:p>
    <w:p w14:paraId="38161877" w14:textId="77777777" w:rsidR="00344A15" w:rsidRPr="00301C11" w:rsidRDefault="00344A15" w:rsidP="00E2757C">
      <w:pPr>
        <w:pStyle w:val="ListParagraph"/>
        <w:spacing w:line="240" w:lineRule="auto"/>
        <w:ind w:left="360" w:hanging="360"/>
        <w:jc w:val="both"/>
        <w:rPr>
          <w:rFonts w:asciiTheme="minorHAnsi" w:hAnsiTheme="minorHAnsi" w:cstheme="minorHAnsi"/>
          <w:sz w:val="23"/>
          <w:szCs w:val="23"/>
        </w:rPr>
      </w:pPr>
    </w:p>
    <w:p w14:paraId="5E45B0B8" w14:textId="23B53F04" w:rsidR="00C01502" w:rsidRPr="00301C11" w:rsidRDefault="00CF61BD" w:rsidP="00E2757C">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lang w:val="en-US"/>
        </w:rPr>
        <w:t>T</w:t>
      </w:r>
      <w:r w:rsidR="00C01502" w:rsidRPr="00301C11">
        <w:rPr>
          <w:rFonts w:asciiTheme="minorHAnsi" w:hAnsiTheme="minorHAnsi" w:cstheme="minorHAnsi"/>
          <w:sz w:val="23"/>
          <w:szCs w:val="23"/>
          <w:lang w:val="en-US"/>
        </w:rPr>
        <w:t xml:space="preserve">he Court </w:t>
      </w:r>
      <w:r w:rsidRPr="00301C11">
        <w:rPr>
          <w:rFonts w:asciiTheme="minorHAnsi" w:hAnsiTheme="minorHAnsi" w:cstheme="minorHAnsi"/>
          <w:sz w:val="23"/>
          <w:szCs w:val="23"/>
          <w:lang w:val="en-US"/>
        </w:rPr>
        <w:t>has repeatedly held that</w:t>
      </w:r>
      <w:r w:rsidR="00C01502" w:rsidRPr="00301C11">
        <w:rPr>
          <w:rFonts w:asciiTheme="minorHAnsi" w:hAnsiTheme="minorHAnsi" w:cstheme="minorHAnsi"/>
          <w:sz w:val="23"/>
          <w:szCs w:val="23"/>
          <w:lang w:val="en-US"/>
        </w:rPr>
        <w:t xml:space="preserve"> the right to vote is not a privilege. In the twenty-first century universal suffrage has become the basic principle and the presumption in a democratic State must be in </w:t>
      </w:r>
      <w:proofErr w:type="spellStart"/>
      <w:r w:rsidR="00C01502" w:rsidRPr="00301C11">
        <w:rPr>
          <w:rFonts w:asciiTheme="minorHAnsi" w:hAnsiTheme="minorHAnsi" w:cstheme="minorHAnsi"/>
          <w:sz w:val="23"/>
          <w:szCs w:val="23"/>
          <w:lang w:val="en-US"/>
        </w:rPr>
        <w:t>favour</w:t>
      </w:r>
      <w:proofErr w:type="spellEnd"/>
      <w:r w:rsidR="00C01502" w:rsidRPr="00301C11">
        <w:rPr>
          <w:rFonts w:asciiTheme="minorHAnsi" w:hAnsiTheme="minorHAnsi" w:cstheme="minorHAnsi"/>
          <w:sz w:val="23"/>
          <w:szCs w:val="23"/>
          <w:lang w:val="en-US"/>
        </w:rPr>
        <w:t xml:space="preserve"> of inclusion.</w:t>
      </w:r>
      <w:r w:rsidR="00C01502" w:rsidRPr="00301C11">
        <w:rPr>
          <w:rFonts w:asciiTheme="minorHAnsi" w:hAnsiTheme="minorHAnsi" w:cstheme="minorHAnsi"/>
          <w:sz w:val="23"/>
          <w:szCs w:val="23"/>
          <w:vertAlign w:val="superscript"/>
          <w:lang w:val="en-US"/>
        </w:rPr>
        <w:footnoteReference w:id="1"/>
      </w:r>
      <w:r w:rsidR="00C01502" w:rsidRPr="00301C11">
        <w:rPr>
          <w:rFonts w:asciiTheme="minorHAnsi" w:hAnsiTheme="minorHAnsi" w:cstheme="minorHAnsi"/>
          <w:sz w:val="23"/>
          <w:szCs w:val="23"/>
          <w:lang w:val="bg-BG"/>
        </w:rPr>
        <w:t xml:space="preserve"> </w:t>
      </w:r>
      <w:r w:rsidR="00C01502" w:rsidRPr="00301C11">
        <w:rPr>
          <w:rFonts w:asciiTheme="minorHAnsi" w:hAnsiTheme="minorHAnsi" w:cstheme="minorHAnsi"/>
          <w:sz w:val="23"/>
          <w:szCs w:val="23"/>
          <w:lang w:val="en-US"/>
        </w:rPr>
        <w:t>Free elections are an essential pillar of democracy as “</w:t>
      </w:r>
      <w:r w:rsidR="00C01502" w:rsidRPr="00301C11">
        <w:rPr>
          <w:rFonts w:asciiTheme="minorHAnsi" w:hAnsiTheme="minorHAnsi" w:cstheme="minorHAnsi"/>
          <w:i/>
          <w:iCs/>
          <w:sz w:val="23"/>
          <w:szCs w:val="23"/>
          <w:lang w:val="en-US"/>
        </w:rPr>
        <w:t>free elections and freedom of expression, particularly freedom of political debate, together form the bedrock of democracy</w:t>
      </w:r>
      <w:r w:rsidR="00C01502" w:rsidRPr="00301C11">
        <w:rPr>
          <w:rFonts w:asciiTheme="minorHAnsi" w:hAnsiTheme="minorHAnsi" w:cstheme="minorHAnsi"/>
          <w:sz w:val="23"/>
          <w:szCs w:val="23"/>
          <w:lang w:val="en-US"/>
        </w:rPr>
        <w:t>.”</w:t>
      </w:r>
      <w:r w:rsidR="00C01502" w:rsidRPr="00301C11">
        <w:rPr>
          <w:rStyle w:val="FootnoteReference"/>
          <w:rFonts w:asciiTheme="minorHAnsi" w:hAnsiTheme="minorHAnsi" w:cstheme="minorHAnsi"/>
          <w:sz w:val="23"/>
          <w:szCs w:val="23"/>
          <w:lang w:val="en-US"/>
        </w:rPr>
        <w:footnoteReference w:id="2"/>
      </w:r>
      <w:r w:rsidR="00C01502" w:rsidRPr="00301C11">
        <w:rPr>
          <w:rFonts w:asciiTheme="minorHAnsi" w:hAnsiTheme="minorHAnsi" w:cstheme="minorHAnsi"/>
          <w:sz w:val="23"/>
          <w:szCs w:val="23"/>
          <w:lang w:val="en-US"/>
        </w:rPr>
        <w:t xml:space="preserve"> </w:t>
      </w:r>
      <w:r w:rsidRPr="00301C11">
        <w:rPr>
          <w:rFonts w:asciiTheme="minorHAnsi" w:hAnsiTheme="minorHAnsi" w:cstheme="minorHAnsi"/>
          <w:sz w:val="23"/>
          <w:szCs w:val="23"/>
          <w:lang w:val="en-US"/>
        </w:rPr>
        <w:t xml:space="preserve">In recognition of this, the right to vote is </w:t>
      </w:r>
      <w:r w:rsidR="00C01502" w:rsidRPr="00301C11">
        <w:rPr>
          <w:rFonts w:asciiTheme="minorHAnsi" w:hAnsiTheme="minorHAnsi" w:cstheme="minorHAnsi"/>
          <w:sz w:val="23"/>
          <w:szCs w:val="23"/>
          <w:lang w:val="en-US"/>
        </w:rPr>
        <w:t xml:space="preserve">enshrined </w:t>
      </w:r>
      <w:r w:rsidRPr="00301C11">
        <w:rPr>
          <w:rFonts w:asciiTheme="minorHAnsi" w:hAnsiTheme="minorHAnsi" w:cstheme="minorHAnsi"/>
          <w:sz w:val="23"/>
          <w:szCs w:val="23"/>
          <w:lang w:val="en-US"/>
        </w:rPr>
        <w:t>i</w:t>
      </w:r>
      <w:r w:rsidR="00C01502" w:rsidRPr="00301C11">
        <w:rPr>
          <w:rFonts w:asciiTheme="minorHAnsi" w:hAnsiTheme="minorHAnsi" w:cstheme="minorHAnsi"/>
          <w:sz w:val="23"/>
          <w:szCs w:val="23"/>
          <w:lang w:val="en-US"/>
        </w:rPr>
        <w:t>n Article 21 of the Universal Declaration of Human Rights and Article 25 of the International Covenant on Civil and Political Rights. Article 29 of the most recent core international human rights treaty, the UN Convention on the Rights of Persons with Disabilities (</w:t>
      </w:r>
      <w:r w:rsidR="00B22198" w:rsidRPr="00301C11">
        <w:rPr>
          <w:rFonts w:asciiTheme="minorHAnsi" w:hAnsiTheme="minorHAnsi" w:cstheme="minorHAnsi"/>
          <w:sz w:val="23"/>
          <w:szCs w:val="23"/>
          <w:lang w:val="en-US"/>
        </w:rPr>
        <w:t>‘</w:t>
      </w:r>
      <w:r w:rsidR="00C01502" w:rsidRPr="00301C11">
        <w:rPr>
          <w:rFonts w:asciiTheme="minorHAnsi" w:hAnsiTheme="minorHAnsi" w:cstheme="minorHAnsi"/>
          <w:sz w:val="23"/>
          <w:szCs w:val="23"/>
          <w:lang w:val="en-US"/>
        </w:rPr>
        <w:t>CRPD</w:t>
      </w:r>
      <w:r w:rsidR="00B22198" w:rsidRPr="00301C11">
        <w:rPr>
          <w:rFonts w:asciiTheme="minorHAnsi" w:hAnsiTheme="minorHAnsi" w:cstheme="minorHAnsi"/>
          <w:sz w:val="23"/>
          <w:szCs w:val="23"/>
          <w:lang w:val="en-US"/>
        </w:rPr>
        <w:t>’</w:t>
      </w:r>
      <w:r w:rsidR="00C01502" w:rsidRPr="00301C11">
        <w:rPr>
          <w:rFonts w:asciiTheme="minorHAnsi" w:hAnsiTheme="minorHAnsi" w:cstheme="minorHAnsi"/>
          <w:sz w:val="23"/>
          <w:szCs w:val="23"/>
          <w:lang w:val="en-US"/>
        </w:rPr>
        <w:t xml:space="preserve">), explicitly </w:t>
      </w:r>
      <w:r w:rsidR="002819D9" w:rsidRPr="00301C11">
        <w:rPr>
          <w:rFonts w:asciiTheme="minorHAnsi" w:hAnsiTheme="minorHAnsi" w:cstheme="minorHAnsi"/>
          <w:sz w:val="23"/>
          <w:szCs w:val="23"/>
          <w:lang w:val="en-US"/>
        </w:rPr>
        <w:t>guarantees</w:t>
      </w:r>
      <w:r w:rsidR="00C01502" w:rsidRPr="00301C11">
        <w:rPr>
          <w:rFonts w:asciiTheme="minorHAnsi" w:hAnsiTheme="minorHAnsi" w:cstheme="minorHAnsi"/>
          <w:sz w:val="23"/>
          <w:szCs w:val="23"/>
          <w:lang w:val="en-US"/>
        </w:rPr>
        <w:t xml:space="preserve"> the right </w:t>
      </w:r>
      <w:r w:rsidR="002819D9" w:rsidRPr="00301C11">
        <w:rPr>
          <w:rFonts w:asciiTheme="minorHAnsi" w:hAnsiTheme="minorHAnsi" w:cstheme="minorHAnsi"/>
          <w:sz w:val="23"/>
          <w:szCs w:val="23"/>
          <w:lang w:val="en-US"/>
        </w:rPr>
        <w:t xml:space="preserve">of people with disabilities </w:t>
      </w:r>
      <w:r w:rsidR="00C01502" w:rsidRPr="00301C11">
        <w:rPr>
          <w:rFonts w:asciiTheme="minorHAnsi" w:hAnsiTheme="minorHAnsi" w:cstheme="minorHAnsi"/>
          <w:sz w:val="23"/>
          <w:szCs w:val="23"/>
          <w:lang w:val="en-US"/>
        </w:rPr>
        <w:t>to vote on an equal basis with others</w:t>
      </w:r>
      <w:r w:rsidR="002819D9" w:rsidRPr="00301C11">
        <w:rPr>
          <w:rFonts w:asciiTheme="minorHAnsi" w:hAnsiTheme="minorHAnsi" w:cstheme="minorHAnsi"/>
          <w:sz w:val="23"/>
          <w:szCs w:val="23"/>
          <w:lang w:val="en-US"/>
        </w:rPr>
        <w:t>. It requires States to ensure voting procedures, facilities and materials are appropriate, accessible and easy to understand and use, and to guarantee the free expression of the will of persons with disabilities as electors, including by allowing, where necessary, at their request, assistance in voting by a person of their own choice.</w:t>
      </w:r>
      <w:r w:rsidR="00C01502" w:rsidRPr="00301C11">
        <w:rPr>
          <w:rFonts w:asciiTheme="minorHAnsi" w:hAnsiTheme="minorHAnsi" w:cstheme="minorHAnsi"/>
          <w:sz w:val="23"/>
          <w:szCs w:val="23"/>
          <w:lang w:val="en-US"/>
        </w:rPr>
        <w:t xml:space="preserve"> </w:t>
      </w:r>
    </w:p>
    <w:p w14:paraId="2726E712" w14:textId="77777777" w:rsidR="00317D86" w:rsidRPr="00301C11" w:rsidRDefault="00317D86" w:rsidP="00E2757C">
      <w:pPr>
        <w:spacing w:line="240" w:lineRule="auto"/>
        <w:ind w:left="360" w:hanging="360"/>
        <w:jc w:val="both"/>
        <w:rPr>
          <w:rFonts w:asciiTheme="minorHAnsi" w:hAnsiTheme="minorHAnsi" w:cstheme="minorHAnsi"/>
          <w:sz w:val="23"/>
          <w:szCs w:val="23"/>
        </w:rPr>
      </w:pPr>
    </w:p>
    <w:p w14:paraId="558E4E1A" w14:textId="4C65FCAE" w:rsidR="002A4D61" w:rsidRPr="00301C11" w:rsidRDefault="72B17112" w:rsidP="00E2757C">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lang w:val="en-US"/>
        </w:rPr>
        <w:t xml:space="preserve">Despite the clear articulation of the right to vote in international law, people with intellectual </w:t>
      </w:r>
      <w:r w:rsidR="00CF61BD" w:rsidRPr="00301C11">
        <w:rPr>
          <w:rFonts w:asciiTheme="minorHAnsi" w:hAnsiTheme="minorHAnsi" w:cstheme="minorHAnsi"/>
          <w:sz w:val="23"/>
          <w:szCs w:val="23"/>
          <w:lang w:val="en-US"/>
        </w:rPr>
        <w:t xml:space="preserve">disabilities </w:t>
      </w:r>
      <w:r w:rsidRPr="00301C11">
        <w:rPr>
          <w:rFonts w:asciiTheme="minorHAnsi" w:hAnsiTheme="minorHAnsi" w:cstheme="minorHAnsi"/>
          <w:sz w:val="23"/>
          <w:szCs w:val="23"/>
          <w:lang w:val="en-US"/>
        </w:rPr>
        <w:t xml:space="preserve">and </w:t>
      </w:r>
      <w:r w:rsidR="00CF61BD" w:rsidRPr="00301C11">
        <w:rPr>
          <w:rFonts w:asciiTheme="minorHAnsi" w:hAnsiTheme="minorHAnsi" w:cstheme="minorHAnsi"/>
          <w:sz w:val="23"/>
          <w:szCs w:val="23"/>
          <w:lang w:val="en-US"/>
        </w:rPr>
        <w:t xml:space="preserve">people with </w:t>
      </w:r>
      <w:r w:rsidRPr="00301C11">
        <w:rPr>
          <w:rFonts w:asciiTheme="minorHAnsi" w:hAnsiTheme="minorHAnsi" w:cstheme="minorHAnsi"/>
          <w:sz w:val="23"/>
          <w:szCs w:val="23"/>
          <w:lang w:val="en-US"/>
        </w:rPr>
        <w:t>psychosocial disabilities continue to be denied this right in Europe. I</w:t>
      </w:r>
      <w:r w:rsidR="00CF61BD" w:rsidRPr="00301C11">
        <w:rPr>
          <w:rFonts w:asciiTheme="minorHAnsi" w:hAnsiTheme="minorHAnsi" w:cstheme="minorHAnsi"/>
          <w:sz w:val="23"/>
          <w:szCs w:val="23"/>
          <w:lang w:val="en-US"/>
        </w:rPr>
        <w:t>n particular, i</w:t>
      </w:r>
      <w:r w:rsidRPr="00301C11">
        <w:rPr>
          <w:rFonts w:asciiTheme="minorHAnsi" w:hAnsiTheme="minorHAnsi" w:cstheme="minorHAnsi"/>
          <w:sz w:val="23"/>
          <w:szCs w:val="23"/>
          <w:lang w:val="en-US"/>
        </w:rPr>
        <w:t>t is often restricted by laws allowing for total or partial deprivation of legal capacity and placement under guardianship.</w:t>
      </w:r>
      <w:r w:rsidRPr="00301C11">
        <w:rPr>
          <w:rFonts w:asciiTheme="minorHAnsi" w:hAnsiTheme="minorHAnsi" w:cstheme="minorHAnsi"/>
          <w:sz w:val="23"/>
          <w:szCs w:val="23"/>
        </w:rPr>
        <w:t xml:space="preserve"> </w:t>
      </w:r>
    </w:p>
    <w:p w14:paraId="3B46C677" w14:textId="77777777" w:rsidR="00615A74" w:rsidRPr="00301C11" w:rsidRDefault="00615A74" w:rsidP="00E2757C">
      <w:pPr>
        <w:spacing w:line="240" w:lineRule="auto"/>
        <w:ind w:left="360" w:hanging="360"/>
        <w:jc w:val="both"/>
        <w:rPr>
          <w:rFonts w:asciiTheme="minorHAnsi" w:hAnsiTheme="minorHAnsi" w:cstheme="minorHAnsi"/>
          <w:sz w:val="23"/>
          <w:szCs w:val="23"/>
        </w:rPr>
      </w:pPr>
    </w:p>
    <w:p w14:paraId="0B6C23AE" w14:textId="3CCB761B" w:rsidR="00CF61BD" w:rsidRPr="00301C11" w:rsidRDefault="00AE4962" w:rsidP="00CF61BD">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lang w:val="en-US"/>
        </w:rPr>
        <w:lastRenderedPageBreak/>
        <w:t>Placing p</w:t>
      </w:r>
      <w:r w:rsidR="002A4D61" w:rsidRPr="00301C11">
        <w:rPr>
          <w:rFonts w:asciiTheme="minorHAnsi" w:hAnsiTheme="minorHAnsi" w:cstheme="minorHAnsi"/>
          <w:sz w:val="23"/>
          <w:szCs w:val="23"/>
          <w:lang w:val="en-US"/>
        </w:rPr>
        <w:t xml:space="preserve">eople with mental disabilities under guardianship </w:t>
      </w:r>
      <w:r w:rsidR="00CF61BD" w:rsidRPr="00301C11">
        <w:rPr>
          <w:rFonts w:asciiTheme="minorHAnsi" w:hAnsiTheme="minorHAnsi" w:cstheme="minorHAnsi"/>
          <w:sz w:val="23"/>
          <w:szCs w:val="23"/>
          <w:lang w:val="en-US"/>
        </w:rPr>
        <w:t xml:space="preserve">places them in a situation of acute vulnerability and exclusion from </w:t>
      </w:r>
      <w:r w:rsidR="002A4D61" w:rsidRPr="00301C11">
        <w:rPr>
          <w:rFonts w:asciiTheme="minorHAnsi" w:hAnsiTheme="minorHAnsi" w:cstheme="minorHAnsi"/>
          <w:sz w:val="23"/>
          <w:szCs w:val="23"/>
          <w:lang w:val="en-US"/>
        </w:rPr>
        <w:t xml:space="preserve">society. </w:t>
      </w:r>
      <w:r w:rsidRPr="00301C11">
        <w:rPr>
          <w:rFonts w:asciiTheme="minorHAnsi" w:hAnsiTheme="minorHAnsi" w:cstheme="minorHAnsi"/>
          <w:sz w:val="23"/>
          <w:szCs w:val="23"/>
        </w:rPr>
        <w:t>As the Council of Europe Commissioner for Human Rights points out, people placed under guardianship are more likely to be diminished in the eyes of service providers, community members, public officials or most importantly political decision-makers. He also added that “</w:t>
      </w:r>
      <w:r w:rsidRPr="00301C11">
        <w:rPr>
          <w:rFonts w:asciiTheme="minorHAnsi" w:hAnsiTheme="minorHAnsi" w:cstheme="minorHAnsi"/>
          <w:i/>
          <w:iCs/>
          <w:sz w:val="23"/>
          <w:szCs w:val="23"/>
        </w:rPr>
        <w:t>this diminishment contributes to the risk of stereotyping, objectification, and other forms of exclusion which people with disabilities disproportionately face, which in turn adds to the experience of powerlessness and the vulnerability to abuse and neglect</w:t>
      </w:r>
      <w:r w:rsidRPr="00301C11">
        <w:rPr>
          <w:rFonts w:asciiTheme="minorHAnsi" w:hAnsiTheme="minorHAnsi" w:cstheme="minorHAnsi"/>
          <w:sz w:val="23"/>
          <w:szCs w:val="23"/>
        </w:rPr>
        <w:t>.”</w:t>
      </w:r>
      <w:r w:rsidRPr="00301C11">
        <w:rPr>
          <w:rFonts w:asciiTheme="minorHAnsi" w:hAnsiTheme="minorHAnsi" w:cstheme="minorHAnsi"/>
          <w:sz w:val="23"/>
          <w:szCs w:val="23"/>
          <w:vertAlign w:val="superscript"/>
        </w:rPr>
        <w:footnoteReference w:id="3"/>
      </w:r>
      <w:r w:rsidRPr="00301C11">
        <w:rPr>
          <w:rFonts w:asciiTheme="minorHAnsi" w:hAnsiTheme="minorHAnsi" w:cstheme="minorHAnsi"/>
          <w:sz w:val="23"/>
          <w:szCs w:val="23"/>
        </w:rPr>
        <w:t xml:space="preserve"> </w:t>
      </w:r>
    </w:p>
    <w:p w14:paraId="1CE2A7FF" w14:textId="77777777" w:rsidR="00CF61BD" w:rsidRPr="00301C11" w:rsidRDefault="00CF61BD" w:rsidP="00CF61BD">
      <w:pPr>
        <w:pStyle w:val="ListParagraph"/>
        <w:spacing w:line="240" w:lineRule="auto"/>
        <w:ind w:left="360"/>
        <w:jc w:val="both"/>
        <w:rPr>
          <w:rFonts w:asciiTheme="minorHAnsi" w:hAnsiTheme="minorHAnsi" w:cstheme="minorHAnsi"/>
          <w:sz w:val="23"/>
          <w:szCs w:val="23"/>
        </w:rPr>
      </w:pPr>
    </w:p>
    <w:p w14:paraId="770F27C4" w14:textId="08BEB46A" w:rsidR="002A4D61" w:rsidRPr="00301C11" w:rsidRDefault="00AE4962" w:rsidP="00E2757C">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rPr>
        <w:t>The</w:t>
      </w:r>
      <w:r w:rsidRPr="00301C11">
        <w:rPr>
          <w:rFonts w:asciiTheme="minorHAnsi" w:hAnsiTheme="minorHAnsi" w:cstheme="minorHAnsi"/>
          <w:sz w:val="23"/>
          <w:szCs w:val="23"/>
          <w:lang w:val="en-US"/>
        </w:rPr>
        <w:t xml:space="preserve"> Committee on the Rights of Persons with Disabilities (</w:t>
      </w:r>
      <w:r w:rsidR="00B22198" w:rsidRPr="00301C11">
        <w:rPr>
          <w:rFonts w:asciiTheme="minorHAnsi" w:hAnsiTheme="minorHAnsi" w:cstheme="minorHAnsi"/>
          <w:sz w:val="23"/>
          <w:szCs w:val="23"/>
          <w:lang w:val="en-US"/>
        </w:rPr>
        <w:t>‘</w:t>
      </w:r>
      <w:r w:rsidR="002A4D61" w:rsidRPr="00301C11">
        <w:rPr>
          <w:rFonts w:asciiTheme="minorHAnsi" w:hAnsiTheme="minorHAnsi" w:cstheme="minorHAnsi"/>
          <w:sz w:val="23"/>
          <w:szCs w:val="23"/>
          <w:lang w:val="en-US"/>
        </w:rPr>
        <w:t>CRPD Committee</w:t>
      </w:r>
      <w:r w:rsidR="00B22198" w:rsidRPr="00301C11">
        <w:rPr>
          <w:rFonts w:asciiTheme="minorHAnsi" w:hAnsiTheme="minorHAnsi" w:cstheme="minorHAnsi"/>
          <w:sz w:val="23"/>
          <w:szCs w:val="23"/>
          <w:lang w:val="en-US"/>
        </w:rPr>
        <w:t>’</w:t>
      </w:r>
      <w:r w:rsidRPr="00301C11">
        <w:rPr>
          <w:rFonts w:asciiTheme="minorHAnsi" w:hAnsiTheme="minorHAnsi" w:cstheme="minorHAnsi"/>
          <w:sz w:val="23"/>
          <w:szCs w:val="23"/>
          <w:lang w:val="en-US"/>
        </w:rPr>
        <w:t>) has</w:t>
      </w:r>
      <w:r w:rsidR="002A4D61" w:rsidRPr="00301C11">
        <w:rPr>
          <w:rFonts w:asciiTheme="minorHAnsi" w:hAnsiTheme="minorHAnsi" w:cstheme="minorHAnsi"/>
          <w:sz w:val="23"/>
          <w:szCs w:val="23"/>
          <w:lang w:val="en-US"/>
        </w:rPr>
        <w:t xml:space="preserve"> </w:t>
      </w:r>
      <w:r w:rsidR="0013119D" w:rsidRPr="00301C11">
        <w:rPr>
          <w:rFonts w:asciiTheme="minorHAnsi" w:hAnsiTheme="minorHAnsi" w:cstheme="minorHAnsi"/>
          <w:sz w:val="23"/>
          <w:szCs w:val="23"/>
          <w:lang w:val="en-US"/>
        </w:rPr>
        <w:t xml:space="preserve">noted that, </w:t>
      </w:r>
      <w:r w:rsidR="0013119D" w:rsidRPr="00301C11">
        <w:rPr>
          <w:rFonts w:asciiTheme="minorHAnsi" w:hAnsiTheme="minorHAnsi" w:cstheme="minorHAnsi"/>
          <w:i/>
          <w:iCs/>
          <w:sz w:val="23"/>
          <w:szCs w:val="23"/>
          <w:lang w:val="en-US"/>
        </w:rPr>
        <w:t>“denial or restriction of legal capacity has been used to deny political participation, especially the right to vote, for certain persons with disabilities.”</w:t>
      </w:r>
      <w:r w:rsidR="005E5DC2" w:rsidRPr="00301C11">
        <w:rPr>
          <w:rStyle w:val="FootnoteReference"/>
          <w:rFonts w:asciiTheme="minorHAnsi" w:hAnsiTheme="minorHAnsi" w:cstheme="minorHAnsi"/>
          <w:i/>
          <w:iCs/>
          <w:sz w:val="23"/>
          <w:szCs w:val="23"/>
          <w:lang w:val="en-US"/>
        </w:rPr>
        <w:footnoteReference w:id="4"/>
      </w:r>
      <w:r w:rsidR="0013119D" w:rsidRPr="00301C11">
        <w:rPr>
          <w:rFonts w:asciiTheme="minorHAnsi" w:hAnsiTheme="minorHAnsi" w:cstheme="minorHAnsi"/>
          <w:i/>
          <w:iCs/>
          <w:sz w:val="23"/>
          <w:szCs w:val="23"/>
          <w:lang w:val="en-US"/>
        </w:rPr>
        <w:t xml:space="preserve"> </w:t>
      </w:r>
      <w:r w:rsidR="0013119D" w:rsidRPr="00301C11">
        <w:rPr>
          <w:rFonts w:asciiTheme="minorHAnsi" w:hAnsiTheme="minorHAnsi" w:cstheme="minorHAnsi"/>
          <w:sz w:val="23"/>
          <w:szCs w:val="23"/>
          <w:lang w:val="en-US"/>
        </w:rPr>
        <w:t xml:space="preserve">It has </w:t>
      </w:r>
      <w:r w:rsidR="002A4D61" w:rsidRPr="00301C11">
        <w:rPr>
          <w:rFonts w:asciiTheme="minorHAnsi" w:hAnsiTheme="minorHAnsi" w:cstheme="minorHAnsi"/>
          <w:sz w:val="23"/>
          <w:szCs w:val="23"/>
          <w:lang w:val="en-US"/>
        </w:rPr>
        <w:t>pointed out</w:t>
      </w:r>
      <w:r w:rsidRPr="00301C11">
        <w:rPr>
          <w:rFonts w:asciiTheme="minorHAnsi" w:hAnsiTheme="minorHAnsi" w:cstheme="minorHAnsi"/>
          <w:sz w:val="23"/>
          <w:szCs w:val="23"/>
          <w:lang w:val="en-US"/>
        </w:rPr>
        <w:t xml:space="preserve"> that,</w:t>
      </w:r>
      <w:r w:rsidR="002A4D61" w:rsidRPr="00301C11">
        <w:rPr>
          <w:rFonts w:asciiTheme="minorHAnsi" w:hAnsiTheme="minorHAnsi" w:cstheme="minorHAnsi"/>
          <w:sz w:val="23"/>
          <w:szCs w:val="23"/>
          <w:lang w:val="en-US"/>
        </w:rPr>
        <w:t xml:space="preserve"> “</w:t>
      </w:r>
      <w:r w:rsidR="002A4D61" w:rsidRPr="00301C11">
        <w:rPr>
          <w:rFonts w:asciiTheme="minorHAnsi" w:hAnsiTheme="minorHAnsi" w:cstheme="minorHAnsi"/>
          <w:i/>
          <w:iCs/>
          <w:sz w:val="23"/>
          <w:szCs w:val="23"/>
          <w:lang w:val="en-US"/>
        </w:rPr>
        <w:t>legal capacity is indispensable for the exercise of civil, political, economic, social and cultural rights</w:t>
      </w:r>
      <w:r w:rsidR="002A4D61" w:rsidRPr="00301C11">
        <w:rPr>
          <w:rFonts w:asciiTheme="minorHAnsi" w:hAnsiTheme="minorHAnsi" w:cstheme="minorHAnsi"/>
          <w:sz w:val="23"/>
          <w:szCs w:val="23"/>
          <w:lang w:val="en-US"/>
        </w:rPr>
        <w:t>” as “</w:t>
      </w:r>
      <w:r w:rsidR="002A4D61" w:rsidRPr="00301C11">
        <w:rPr>
          <w:rFonts w:asciiTheme="minorHAnsi" w:hAnsiTheme="minorHAnsi" w:cstheme="minorHAnsi"/>
          <w:i/>
          <w:iCs/>
          <w:sz w:val="23"/>
          <w:szCs w:val="23"/>
          <w:lang w:val="en-US"/>
        </w:rPr>
        <w:t>the denial of legal capacity to persons with disabilities has, in many cases, led to their being deprived of many fundamental rights, including the right to vote, the right to marry and found a family, reproductive rights, parental rights, the right to give consent for intimate relationships and medical treatment, and the right to liberty</w:t>
      </w:r>
      <w:r w:rsidR="002A4D61" w:rsidRPr="00301C11">
        <w:rPr>
          <w:rFonts w:asciiTheme="minorHAnsi" w:hAnsiTheme="minorHAnsi" w:cstheme="minorHAnsi"/>
          <w:sz w:val="23"/>
          <w:szCs w:val="23"/>
          <w:lang w:val="en-US"/>
        </w:rPr>
        <w:t>.”</w:t>
      </w:r>
      <w:r w:rsidR="002A4D61" w:rsidRPr="00301C11">
        <w:rPr>
          <w:rFonts w:asciiTheme="minorHAnsi" w:hAnsiTheme="minorHAnsi" w:cstheme="minorHAnsi"/>
          <w:sz w:val="23"/>
          <w:szCs w:val="23"/>
          <w:vertAlign w:val="superscript"/>
          <w:lang w:val="en-US"/>
        </w:rPr>
        <w:footnoteReference w:id="5"/>
      </w:r>
      <w:r w:rsidR="002A4D61" w:rsidRPr="00301C11">
        <w:rPr>
          <w:rFonts w:asciiTheme="minorHAnsi" w:hAnsiTheme="minorHAnsi" w:cstheme="minorHAnsi"/>
          <w:sz w:val="23"/>
          <w:szCs w:val="23"/>
          <w:lang w:val="en-US"/>
        </w:rPr>
        <w:t> </w:t>
      </w:r>
      <w:r w:rsidRPr="00301C11">
        <w:rPr>
          <w:rFonts w:asciiTheme="minorHAnsi" w:hAnsiTheme="minorHAnsi" w:cstheme="minorHAnsi"/>
          <w:sz w:val="23"/>
          <w:szCs w:val="23"/>
          <w:lang w:val="en-US"/>
        </w:rPr>
        <w:t>Excluding p</w:t>
      </w:r>
      <w:r w:rsidR="002A4D61" w:rsidRPr="00301C11">
        <w:rPr>
          <w:rFonts w:asciiTheme="minorHAnsi" w:hAnsiTheme="minorHAnsi" w:cstheme="minorHAnsi"/>
          <w:sz w:val="23"/>
          <w:szCs w:val="23"/>
          <w:lang w:val="en-US"/>
        </w:rPr>
        <w:t xml:space="preserve">eople </w:t>
      </w:r>
      <w:r w:rsidRPr="00301C11">
        <w:rPr>
          <w:rFonts w:asciiTheme="minorHAnsi" w:hAnsiTheme="minorHAnsi" w:cstheme="minorHAnsi"/>
          <w:sz w:val="23"/>
          <w:szCs w:val="23"/>
          <w:lang w:val="en-US"/>
        </w:rPr>
        <w:t xml:space="preserve">with disabilities from the political community by placing them under guardianship or otherwise denying them their right to vote means that </w:t>
      </w:r>
      <w:r w:rsidR="002A4D61" w:rsidRPr="00301C11">
        <w:rPr>
          <w:rFonts w:asciiTheme="minorHAnsi" w:hAnsiTheme="minorHAnsi" w:cstheme="minorHAnsi"/>
          <w:sz w:val="23"/>
          <w:szCs w:val="23"/>
          <w:lang w:val="en-US"/>
        </w:rPr>
        <w:t xml:space="preserve">their will, interests and preferences are not represented and </w:t>
      </w:r>
      <w:r w:rsidRPr="00301C11">
        <w:rPr>
          <w:rFonts w:asciiTheme="minorHAnsi" w:hAnsiTheme="minorHAnsi" w:cstheme="minorHAnsi"/>
          <w:sz w:val="23"/>
          <w:szCs w:val="23"/>
          <w:lang w:val="en-US"/>
        </w:rPr>
        <w:t>they have no say in</w:t>
      </w:r>
      <w:r w:rsidR="002A4D61" w:rsidRPr="00301C11">
        <w:rPr>
          <w:rFonts w:asciiTheme="minorHAnsi" w:hAnsiTheme="minorHAnsi" w:cstheme="minorHAnsi"/>
          <w:sz w:val="23"/>
          <w:szCs w:val="23"/>
          <w:lang w:val="en-US"/>
        </w:rPr>
        <w:t xml:space="preserve"> decision-making</w:t>
      </w:r>
      <w:r w:rsidRPr="00301C11">
        <w:rPr>
          <w:rFonts w:asciiTheme="minorHAnsi" w:hAnsiTheme="minorHAnsi" w:cstheme="minorHAnsi"/>
          <w:sz w:val="23"/>
          <w:szCs w:val="23"/>
          <w:lang w:val="en-US"/>
        </w:rPr>
        <w:t>. This leads to</w:t>
      </w:r>
      <w:r w:rsidR="002A4D61" w:rsidRPr="00301C11">
        <w:rPr>
          <w:rFonts w:asciiTheme="minorHAnsi" w:hAnsiTheme="minorHAnsi" w:cstheme="minorHAnsi"/>
          <w:sz w:val="23"/>
          <w:szCs w:val="23"/>
          <w:lang w:val="en-US"/>
        </w:rPr>
        <w:t xml:space="preserve"> </w:t>
      </w:r>
      <w:r w:rsidRPr="00301C11">
        <w:rPr>
          <w:rFonts w:asciiTheme="minorHAnsi" w:hAnsiTheme="minorHAnsi" w:cstheme="minorHAnsi"/>
          <w:sz w:val="23"/>
          <w:szCs w:val="23"/>
          <w:lang w:val="en-US"/>
        </w:rPr>
        <w:t xml:space="preserve">their </w:t>
      </w:r>
      <w:r w:rsidR="002A4D61" w:rsidRPr="00301C11">
        <w:rPr>
          <w:rFonts w:asciiTheme="minorHAnsi" w:hAnsiTheme="minorHAnsi" w:cstheme="minorHAnsi"/>
          <w:sz w:val="23"/>
          <w:szCs w:val="23"/>
          <w:lang w:val="en-US"/>
        </w:rPr>
        <w:t>further exclusion, invisibility and disempowerment</w:t>
      </w:r>
      <w:r w:rsidR="00CF61BD" w:rsidRPr="00301C11">
        <w:rPr>
          <w:rFonts w:asciiTheme="minorHAnsi" w:hAnsiTheme="minorHAnsi" w:cstheme="minorHAnsi"/>
          <w:sz w:val="23"/>
          <w:szCs w:val="23"/>
          <w:lang w:val="en-US"/>
        </w:rPr>
        <w:t>, and exacerbates stigma and stereotyping</w:t>
      </w:r>
      <w:r w:rsidR="002A4D61" w:rsidRPr="00301C11">
        <w:rPr>
          <w:rFonts w:asciiTheme="minorHAnsi" w:hAnsiTheme="minorHAnsi" w:cstheme="minorHAnsi"/>
          <w:sz w:val="23"/>
          <w:szCs w:val="23"/>
          <w:lang w:val="en-US"/>
        </w:rPr>
        <w:t xml:space="preserve">. </w:t>
      </w:r>
    </w:p>
    <w:p w14:paraId="019C936E" w14:textId="77777777" w:rsidR="002A4D61" w:rsidRPr="00301C11" w:rsidRDefault="002A4D61" w:rsidP="00E2757C">
      <w:pPr>
        <w:spacing w:line="240" w:lineRule="auto"/>
        <w:ind w:left="360" w:hanging="360"/>
        <w:jc w:val="both"/>
        <w:rPr>
          <w:rFonts w:asciiTheme="minorHAnsi" w:hAnsiTheme="minorHAnsi" w:cstheme="minorHAnsi"/>
          <w:bCs/>
          <w:sz w:val="23"/>
          <w:szCs w:val="23"/>
        </w:rPr>
      </w:pPr>
    </w:p>
    <w:p w14:paraId="02C88198" w14:textId="63DC9A6A" w:rsidR="002A4D61" w:rsidRPr="00301C11" w:rsidRDefault="72B17112" w:rsidP="00E2757C">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rPr>
        <w:t>An array of international</w:t>
      </w:r>
      <w:r w:rsidR="00CF61BD" w:rsidRPr="00301C11">
        <w:rPr>
          <w:rFonts w:asciiTheme="minorHAnsi" w:hAnsiTheme="minorHAnsi" w:cstheme="minorHAnsi"/>
          <w:sz w:val="23"/>
          <w:szCs w:val="23"/>
        </w:rPr>
        <w:t>,</w:t>
      </w:r>
      <w:r w:rsidRPr="00301C11">
        <w:rPr>
          <w:rFonts w:asciiTheme="minorHAnsi" w:hAnsiTheme="minorHAnsi" w:cstheme="minorHAnsi"/>
          <w:sz w:val="23"/>
          <w:szCs w:val="23"/>
        </w:rPr>
        <w:t xml:space="preserve"> regional</w:t>
      </w:r>
      <w:r w:rsidR="00CF61BD" w:rsidRPr="00301C11">
        <w:rPr>
          <w:rFonts w:asciiTheme="minorHAnsi" w:hAnsiTheme="minorHAnsi" w:cstheme="minorHAnsi"/>
          <w:sz w:val="23"/>
          <w:szCs w:val="23"/>
        </w:rPr>
        <w:t xml:space="preserve"> and national</w:t>
      </w:r>
      <w:r w:rsidRPr="00301C11">
        <w:rPr>
          <w:rFonts w:asciiTheme="minorHAnsi" w:hAnsiTheme="minorHAnsi" w:cstheme="minorHAnsi"/>
          <w:sz w:val="23"/>
          <w:szCs w:val="23"/>
        </w:rPr>
        <w:t xml:space="preserve"> laws, policies and statements has been adopted recently reinforcing the right to vote of people with mental disabilities and promoting their full inclusion and participation, including participation in political and public life which will be outlined below.</w:t>
      </w:r>
    </w:p>
    <w:p w14:paraId="0EDCB93F" w14:textId="77777777" w:rsidR="002A4D61" w:rsidRPr="00301C11" w:rsidRDefault="002A4D61" w:rsidP="00E2757C">
      <w:pPr>
        <w:spacing w:line="240" w:lineRule="auto"/>
        <w:rPr>
          <w:rFonts w:asciiTheme="minorHAnsi" w:hAnsiTheme="minorHAnsi" w:cstheme="minorHAnsi"/>
          <w:bCs/>
          <w:sz w:val="23"/>
          <w:szCs w:val="23"/>
        </w:rPr>
      </w:pPr>
    </w:p>
    <w:p w14:paraId="575E9881" w14:textId="633AB752" w:rsidR="00E2757C" w:rsidRPr="00301C11" w:rsidRDefault="00CF61BD" w:rsidP="00E2757C">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lang w:val="en-US"/>
        </w:rPr>
        <w:t>T</w:t>
      </w:r>
      <w:r w:rsidR="005C0E8F" w:rsidRPr="00301C11">
        <w:rPr>
          <w:rFonts w:asciiTheme="minorHAnsi" w:hAnsiTheme="minorHAnsi" w:cstheme="minorHAnsi"/>
          <w:sz w:val="23"/>
          <w:szCs w:val="23"/>
          <w:lang w:val="en-US"/>
        </w:rPr>
        <w:t>he Court has noted several times</w:t>
      </w:r>
      <w:r w:rsidRPr="00301C11">
        <w:rPr>
          <w:rFonts w:asciiTheme="minorHAnsi" w:hAnsiTheme="minorHAnsi" w:cstheme="minorHAnsi"/>
          <w:sz w:val="23"/>
          <w:szCs w:val="23"/>
          <w:lang w:val="en-US"/>
        </w:rPr>
        <w:t xml:space="preserve"> that</w:t>
      </w:r>
      <w:r w:rsidR="005C0E8F" w:rsidRPr="00301C11">
        <w:rPr>
          <w:rFonts w:asciiTheme="minorHAnsi" w:hAnsiTheme="minorHAnsi" w:cstheme="minorHAnsi"/>
          <w:sz w:val="23"/>
          <w:szCs w:val="23"/>
          <w:lang w:val="en-US"/>
        </w:rPr>
        <w:t xml:space="preserve"> the Convention should be interpreted consistently with the general principles of international law and cannot be interpreted in a vacuum. </w:t>
      </w:r>
      <w:r w:rsidR="00765E79" w:rsidRPr="00301C11">
        <w:rPr>
          <w:rFonts w:asciiTheme="minorHAnsi" w:hAnsiTheme="minorHAnsi" w:cstheme="minorHAnsi"/>
          <w:sz w:val="23"/>
          <w:szCs w:val="23"/>
          <w:lang w:val="en-US"/>
        </w:rPr>
        <w:t xml:space="preserve">The </w:t>
      </w:r>
      <w:r w:rsidR="005C0E8F" w:rsidRPr="00301C11">
        <w:rPr>
          <w:rFonts w:asciiTheme="minorHAnsi" w:hAnsiTheme="minorHAnsi" w:cstheme="minorHAnsi"/>
          <w:sz w:val="23"/>
          <w:szCs w:val="23"/>
          <w:lang w:val="en-US"/>
        </w:rPr>
        <w:t xml:space="preserve">Convention is a living instrument which must be interpreted </w:t>
      </w:r>
      <w:r w:rsidR="005C0E8F" w:rsidRPr="00301C11">
        <w:rPr>
          <w:rFonts w:asciiTheme="minorHAnsi" w:hAnsiTheme="minorHAnsi" w:cstheme="minorHAnsi"/>
          <w:i/>
          <w:iCs/>
          <w:sz w:val="23"/>
          <w:szCs w:val="23"/>
          <w:lang w:val="en-US"/>
        </w:rPr>
        <w:t>“in the light of present-day conditions”</w:t>
      </w:r>
      <w:r w:rsidR="005C0E8F" w:rsidRPr="00301C11">
        <w:rPr>
          <w:rFonts w:asciiTheme="minorHAnsi" w:hAnsiTheme="minorHAnsi" w:cstheme="minorHAnsi"/>
          <w:sz w:val="23"/>
          <w:szCs w:val="23"/>
          <w:vertAlign w:val="superscript"/>
          <w:lang w:val="en-US"/>
        </w:rPr>
        <w:footnoteReference w:id="6"/>
      </w:r>
      <w:r w:rsidR="005C0E8F" w:rsidRPr="00301C11">
        <w:rPr>
          <w:rFonts w:asciiTheme="minorHAnsi" w:hAnsiTheme="minorHAnsi" w:cstheme="minorHAnsi"/>
          <w:sz w:val="23"/>
          <w:szCs w:val="23"/>
          <w:lang w:val="en-US"/>
        </w:rPr>
        <w:t xml:space="preserve"> and relevant international standards</w:t>
      </w:r>
      <w:r w:rsidR="005C0E8F" w:rsidRPr="00301C11">
        <w:rPr>
          <w:rFonts w:asciiTheme="minorHAnsi" w:hAnsiTheme="minorHAnsi" w:cstheme="minorHAnsi"/>
          <w:sz w:val="23"/>
          <w:szCs w:val="23"/>
          <w:vertAlign w:val="superscript"/>
          <w:lang w:val="en-US"/>
        </w:rPr>
        <w:footnoteReference w:id="7"/>
      </w:r>
      <w:r w:rsidR="005C0E8F" w:rsidRPr="00301C11">
        <w:rPr>
          <w:rFonts w:asciiTheme="minorHAnsi" w:hAnsiTheme="minorHAnsi" w:cstheme="minorHAnsi"/>
          <w:sz w:val="23"/>
          <w:szCs w:val="23"/>
          <w:lang w:val="en-US"/>
        </w:rPr>
        <w:t xml:space="preserve">: it must be read </w:t>
      </w:r>
      <w:r w:rsidR="005C0E8F" w:rsidRPr="00301C11">
        <w:rPr>
          <w:rFonts w:asciiTheme="minorHAnsi" w:hAnsiTheme="minorHAnsi" w:cstheme="minorHAnsi"/>
          <w:i/>
          <w:iCs/>
          <w:sz w:val="23"/>
          <w:szCs w:val="23"/>
          <w:lang w:val="en-US"/>
        </w:rPr>
        <w:t>“in the light of the notions currently prevailing in democratic States.”</w:t>
      </w:r>
      <w:r w:rsidR="005C0E8F" w:rsidRPr="00301C11">
        <w:rPr>
          <w:rFonts w:asciiTheme="minorHAnsi" w:hAnsiTheme="minorHAnsi" w:cstheme="minorHAnsi"/>
          <w:sz w:val="23"/>
          <w:szCs w:val="23"/>
          <w:vertAlign w:val="superscript"/>
          <w:lang w:val="en-US"/>
        </w:rPr>
        <w:footnoteReference w:id="8"/>
      </w:r>
      <w:r w:rsidR="005C0E8F" w:rsidRPr="00301C11">
        <w:rPr>
          <w:rFonts w:asciiTheme="minorHAnsi" w:hAnsiTheme="minorHAnsi" w:cstheme="minorHAnsi"/>
          <w:sz w:val="23"/>
          <w:szCs w:val="23"/>
          <w:lang w:val="en-US"/>
        </w:rPr>
        <w:t xml:space="preserve"> In interpreting its provisions and the scope of States’ obligations in specific cases, the Court will look </w:t>
      </w:r>
      <w:r w:rsidR="005C0E8F" w:rsidRPr="00301C11">
        <w:rPr>
          <w:rFonts w:asciiTheme="minorHAnsi" w:hAnsiTheme="minorHAnsi" w:cstheme="minorHAnsi"/>
          <w:i/>
          <w:iCs/>
          <w:sz w:val="23"/>
          <w:szCs w:val="23"/>
          <w:lang w:val="en-US"/>
        </w:rPr>
        <w:t xml:space="preserve">“for any consensus and common values emerging from the practices of European States and </w:t>
      </w:r>
      <w:proofErr w:type="spellStart"/>
      <w:r w:rsidR="005C0E8F" w:rsidRPr="00301C11">
        <w:rPr>
          <w:rFonts w:asciiTheme="minorHAnsi" w:hAnsiTheme="minorHAnsi" w:cstheme="minorHAnsi"/>
          <w:i/>
          <w:iCs/>
          <w:sz w:val="23"/>
          <w:szCs w:val="23"/>
          <w:lang w:val="en-US"/>
        </w:rPr>
        <w:t>specialised</w:t>
      </w:r>
      <w:proofErr w:type="spellEnd"/>
      <w:r w:rsidR="005C0E8F" w:rsidRPr="00301C11">
        <w:rPr>
          <w:rFonts w:asciiTheme="minorHAnsi" w:hAnsiTheme="minorHAnsi" w:cstheme="minorHAnsi"/>
          <w:i/>
          <w:iCs/>
          <w:sz w:val="23"/>
          <w:szCs w:val="23"/>
          <w:lang w:val="en-US"/>
        </w:rPr>
        <w:t xml:space="preserve"> international instruments… as well as giving heed to the evolution of norms and principles in international law.”</w:t>
      </w:r>
      <w:r w:rsidR="005C0E8F" w:rsidRPr="00301C11">
        <w:rPr>
          <w:rFonts w:asciiTheme="minorHAnsi" w:hAnsiTheme="minorHAnsi" w:cstheme="minorHAnsi"/>
          <w:i/>
          <w:iCs/>
          <w:sz w:val="23"/>
          <w:szCs w:val="23"/>
          <w:vertAlign w:val="superscript"/>
          <w:lang w:val="en-US"/>
        </w:rPr>
        <w:footnoteReference w:id="9"/>
      </w:r>
      <w:r w:rsidR="005C0E8F" w:rsidRPr="00301C11">
        <w:rPr>
          <w:rFonts w:asciiTheme="minorHAnsi" w:hAnsiTheme="minorHAnsi" w:cstheme="minorHAnsi"/>
          <w:sz w:val="23"/>
          <w:szCs w:val="23"/>
          <w:lang w:val="en-US"/>
        </w:rPr>
        <w:t xml:space="preserve"> These instruments include other Council of Europe </w:t>
      </w:r>
      <w:r w:rsidR="00DF53FF" w:rsidRPr="00301C11">
        <w:rPr>
          <w:rFonts w:asciiTheme="minorHAnsi" w:hAnsiTheme="minorHAnsi" w:cstheme="minorHAnsi"/>
          <w:sz w:val="23"/>
          <w:szCs w:val="23"/>
          <w:lang w:val="en-US"/>
        </w:rPr>
        <w:t>instruments</w:t>
      </w:r>
      <w:r w:rsidR="005C0E8F" w:rsidRPr="00301C11">
        <w:rPr>
          <w:rFonts w:asciiTheme="minorHAnsi" w:hAnsiTheme="minorHAnsi" w:cstheme="minorHAnsi"/>
          <w:sz w:val="23"/>
          <w:szCs w:val="23"/>
          <w:lang w:val="en-US"/>
        </w:rPr>
        <w:t xml:space="preserve"> and the CPRD which </w:t>
      </w:r>
      <w:r w:rsidR="00765E79" w:rsidRPr="00301C11">
        <w:rPr>
          <w:rFonts w:asciiTheme="minorHAnsi" w:hAnsiTheme="minorHAnsi" w:cstheme="minorHAnsi"/>
          <w:sz w:val="23"/>
          <w:szCs w:val="23"/>
          <w:lang w:val="en-US"/>
        </w:rPr>
        <w:t>is</w:t>
      </w:r>
      <w:r w:rsidR="005C0E8F" w:rsidRPr="00301C11">
        <w:rPr>
          <w:rFonts w:asciiTheme="minorHAnsi" w:hAnsiTheme="minorHAnsi" w:cstheme="minorHAnsi"/>
          <w:sz w:val="23"/>
          <w:szCs w:val="23"/>
          <w:lang w:val="en-US"/>
        </w:rPr>
        <w:t xml:space="preserve"> of prime relevance to the protection and promotion of the rights of people with mental disabilities.</w:t>
      </w:r>
      <w:r w:rsidR="005C0E8F" w:rsidRPr="00301C11">
        <w:rPr>
          <w:rFonts w:asciiTheme="minorHAnsi" w:hAnsiTheme="minorHAnsi" w:cstheme="minorHAnsi"/>
          <w:sz w:val="23"/>
          <w:szCs w:val="23"/>
          <w:vertAlign w:val="superscript"/>
          <w:lang w:val="en-US"/>
        </w:rPr>
        <w:footnoteReference w:id="10"/>
      </w:r>
      <w:r w:rsidR="005C0E8F" w:rsidRPr="00301C11">
        <w:rPr>
          <w:rFonts w:asciiTheme="minorHAnsi" w:hAnsiTheme="minorHAnsi" w:cstheme="minorHAnsi"/>
          <w:sz w:val="23"/>
          <w:szCs w:val="23"/>
          <w:lang w:val="en-US"/>
        </w:rPr>
        <w:t xml:space="preserve"> Therefore, when the Court considers the issue of the violation of the right to vote of </w:t>
      </w:r>
      <w:r w:rsidR="005C0E8F" w:rsidRPr="00301C11">
        <w:rPr>
          <w:rFonts w:asciiTheme="minorHAnsi" w:hAnsiTheme="minorHAnsi" w:cstheme="minorHAnsi"/>
          <w:sz w:val="23"/>
          <w:szCs w:val="23"/>
          <w:lang w:val="en-US"/>
        </w:rPr>
        <w:lastRenderedPageBreak/>
        <w:t xml:space="preserve">people with disabilities it </w:t>
      </w:r>
      <w:r w:rsidR="00E31A0C" w:rsidRPr="00301C11">
        <w:rPr>
          <w:rFonts w:asciiTheme="minorHAnsi" w:hAnsiTheme="minorHAnsi" w:cstheme="minorHAnsi"/>
          <w:sz w:val="23"/>
          <w:szCs w:val="23"/>
          <w:lang w:val="en-US"/>
        </w:rPr>
        <w:t>is incumbent upon it to do</w:t>
      </w:r>
      <w:r w:rsidR="005C0E8F" w:rsidRPr="00301C11">
        <w:rPr>
          <w:rFonts w:asciiTheme="minorHAnsi" w:hAnsiTheme="minorHAnsi" w:cstheme="minorHAnsi"/>
          <w:sz w:val="23"/>
          <w:szCs w:val="23"/>
          <w:lang w:val="en-US"/>
        </w:rPr>
        <w:t xml:space="preserve"> so in </w:t>
      </w:r>
      <w:r w:rsidR="00E31A0C" w:rsidRPr="00301C11">
        <w:rPr>
          <w:rFonts w:asciiTheme="minorHAnsi" w:hAnsiTheme="minorHAnsi" w:cstheme="minorHAnsi"/>
          <w:sz w:val="23"/>
          <w:szCs w:val="23"/>
          <w:lang w:val="en-US"/>
        </w:rPr>
        <w:t>harmony</w:t>
      </w:r>
      <w:r w:rsidR="005C0E8F" w:rsidRPr="00301C11">
        <w:rPr>
          <w:rFonts w:asciiTheme="minorHAnsi" w:hAnsiTheme="minorHAnsi" w:cstheme="minorHAnsi"/>
          <w:sz w:val="23"/>
          <w:szCs w:val="23"/>
          <w:lang w:val="en-US"/>
        </w:rPr>
        <w:t xml:space="preserve"> with the current European and international standards detailed below.</w:t>
      </w:r>
    </w:p>
    <w:p w14:paraId="2425803D" w14:textId="77777777" w:rsidR="00E2757C" w:rsidRPr="00301C11" w:rsidRDefault="00E2757C" w:rsidP="00E2757C">
      <w:pPr>
        <w:pStyle w:val="ListParagraph"/>
        <w:spacing w:line="240" w:lineRule="auto"/>
        <w:ind w:left="360"/>
        <w:jc w:val="both"/>
        <w:rPr>
          <w:rFonts w:asciiTheme="minorHAnsi" w:hAnsiTheme="minorHAnsi" w:cstheme="minorHAnsi"/>
          <w:sz w:val="23"/>
          <w:szCs w:val="23"/>
        </w:rPr>
      </w:pPr>
    </w:p>
    <w:p w14:paraId="56B44561" w14:textId="585A31C8" w:rsidR="00E31A0C" w:rsidRPr="00301C11" w:rsidRDefault="00E31A0C" w:rsidP="00E2757C">
      <w:pPr>
        <w:pStyle w:val="ListParagraph"/>
        <w:numPr>
          <w:ilvl w:val="0"/>
          <w:numId w:val="21"/>
        </w:numPr>
        <w:spacing w:line="240" w:lineRule="auto"/>
        <w:ind w:left="720" w:hanging="360"/>
        <w:jc w:val="both"/>
        <w:rPr>
          <w:rFonts w:asciiTheme="minorHAnsi" w:hAnsiTheme="minorHAnsi" w:cstheme="minorHAnsi"/>
          <w:sz w:val="23"/>
          <w:szCs w:val="23"/>
        </w:rPr>
      </w:pPr>
      <w:r w:rsidRPr="00301C11">
        <w:rPr>
          <w:rFonts w:asciiTheme="minorHAnsi" w:hAnsiTheme="minorHAnsi" w:cstheme="minorHAnsi"/>
          <w:b/>
          <w:bCs/>
          <w:sz w:val="23"/>
          <w:szCs w:val="23"/>
          <w:u w:val="single"/>
        </w:rPr>
        <w:t>Council of Europe standards</w:t>
      </w:r>
    </w:p>
    <w:p w14:paraId="2CCD028F" w14:textId="77777777" w:rsidR="00E2757C" w:rsidRPr="00301C11" w:rsidRDefault="00E2757C" w:rsidP="00E2757C">
      <w:pPr>
        <w:pStyle w:val="ListParagraph"/>
        <w:spacing w:line="240" w:lineRule="auto"/>
        <w:jc w:val="both"/>
        <w:rPr>
          <w:rFonts w:asciiTheme="minorHAnsi" w:hAnsiTheme="minorHAnsi" w:cstheme="minorHAnsi"/>
          <w:sz w:val="23"/>
          <w:szCs w:val="23"/>
        </w:rPr>
      </w:pPr>
    </w:p>
    <w:p w14:paraId="49A8DA33" w14:textId="5E8706BD" w:rsidR="007409B6" w:rsidRPr="00301C11" w:rsidRDefault="007409B6" w:rsidP="00E2757C">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rPr>
        <w:t>In</w:t>
      </w:r>
      <w:r w:rsidR="00734312" w:rsidRPr="00301C11">
        <w:rPr>
          <w:rFonts w:asciiTheme="minorHAnsi" w:hAnsiTheme="minorHAnsi" w:cstheme="minorHAnsi"/>
          <w:sz w:val="23"/>
          <w:szCs w:val="23"/>
        </w:rPr>
        <w:t xml:space="preserve"> January 20</w:t>
      </w:r>
      <w:r w:rsidR="006378FA" w:rsidRPr="00301C11">
        <w:rPr>
          <w:rFonts w:asciiTheme="minorHAnsi" w:hAnsiTheme="minorHAnsi" w:cstheme="minorHAnsi"/>
          <w:sz w:val="23"/>
          <w:szCs w:val="23"/>
        </w:rPr>
        <w:t>09</w:t>
      </w:r>
      <w:r w:rsidR="00E779C8" w:rsidRPr="00301C11">
        <w:rPr>
          <w:rFonts w:asciiTheme="minorHAnsi" w:hAnsiTheme="minorHAnsi" w:cstheme="minorHAnsi"/>
          <w:sz w:val="23"/>
          <w:szCs w:val="23"/>
        </w:rPr>
        <w:t>,</w:t>
      </w:r>
      <w:r w:rsidRPr="00301C11">
        <w:rPr>
          <w:rFonts w:asciiTheme="minorHAnsi" w:hAnsiTheme="minorHAnsi" w:cstheme="minorHAnsi"/>
          <w:sz w:val="23"/>
          <w:szCs w:val="23"/>
        </w:rPr>
        <w:t xml:space="preserve"> the Parliamentary Assembly of the Council of Europe </w:t>
      </w:r>
      <w:r w:rsidR="006378FA" w:rsidRPr="00301C11">
        <w:rPr>
          <w:rFonts w:asciiTheme="minorHAnsi" w:hAnsiTheme="minorHAnsi" w:cstheme="minorHAnsi"/>
          <w:sz w:val="23"/>
          <w:szCs w:val="23"/>
        </w:rPr>
        <w:t xml:space="preserve">(PACE) adopted </w:t>
      </w:r>
      <w:r w:rsidR="00765E79" w:rsidRPr="00301C11">
        <w:rPr>
          <w:rFonts w:asciiTheme="minorHAnsi" w:hAnsiTheme="minorHAnsi" w:cstheme="minorHAnsi"/>
          <w:sz w:val="23"/>
          <w:szCs w:val="23"/>
        </w:rPr>
        <w:t>R</w:t>
      </w:r>
      <w:r w:rsidR="006378FA" w:rsidRPr="00301C11">
        <w:rPr>
          <w:rFonts w:asciiTheme="minorHAnsi" w:hAnsiTheme="minorHAnsi" w:cstheme="minorHAnsi"/>
          <w:sz w:val="23"/>
          <w:szCs w:val="23"/>
        </w:rPr>
        <w:t>esolution</w:t>
      </w:r>
      <w:r w:rsidR="00765E79" w:rsidRPr="00301C11">
        <w:rPr>
          <w:rFonts w:asciiTheme="minorHAnsi" w:hAnsiTheme="minorHAnsi" w:cstheme="minorHAnsi"/>
          <w:sz w:val="23"/>
          <w:szCs w:val="23"/>
        </w:rPr>
        <w:t xml:space="preserve"> 1642</w:t>
      </w:r>
      <w:r w:rsidR="00765E79" w:rsidRPr="00301C11">
        <w:rPr>
          <w:rStyle w:val="FootnoteReference"/>
          <w:rFonts w:asciiTheme="minorHAnsi" w:hAnsiTheme="minorHAnsi" w:cstheme="minorHAnsi"/>
          <w:sz w:val="23"/>
          <w:szCs w:val="23"/>
        </w:rPr>
        <w:footnoteReference w:id="11"/>
      </w:r>
      <w:r w:rsidR="00765E79" w:rsidRPr="00301C11">
        <w:rPr>
          <w:rFonts w:asciiTheme="minorHAnsi" w:hAnsiTheme="minorHAnsi" w:cstheme="minorHAnsi"/>
          <w:sz w:val="23"/>
          <w:szCs w:val="23"/>
        </w:rPr>
        <w:t xml:space="preserve">  which states, in reference to Article 12 of the CRPD that:</w:t>
      </w:r>
      <w:r w:rsidR="006378FA" w:rsidRPr="00301C11">
        <w:rPr>
          <w:rFonts w:asciiTheme="minorHAnsi" w:hAnsiTheme="minorHAnsi" w:cstheme="minorHAnsi"/>
          <w:sz w:val="23"/>
          <w:szCs w:val="23"/>
        </w:rPr>
        <w:t xml:space="preserve"> </w:t>
      </w:r>
    </w:p>
    <w:p w14:paraId="4CA4AC66" w14:textId="39F8BBF2" w:rsidR="007409B6" w:rsidRPr="00301C11" w:rsidRDefault="72B17112" w:rsidP="00E2757C">
      <w:pPr>
        <w:pStyle w:val="ListParagraph"/>
        <w:spacing w:line="240" w:lineRule="auto"/>
        <w:ind w:left="360"/>
        <w:jc w:val="both"/>
        <w:rPr>
          <w:rFonts w:asciiTheme="minorHAnsi" w:hAnsiTheme="minorHAnsi" w:cstheme="minorHAnsi"/>
          <w:sz w:val="23"/>
          <w:szCs w:val="23"/>
        </w:rPr>
      </w:pPr>
      <w:r w:rsidRPr="00301C11">
        <w:rPr>
          <w:rFonts w:asciiTheme="minorHAnsi" w:hAnsiTheme="minorHAnsi" w:cstheme="minorHAnsi"/>
          <w:i/>
          <w:iCs/>
          <w:sz w:val="23"/>
          <w:szCs w:val="23"/>
        </w:rPr>
        <w:t xml:space="preserve">“7. Firstly, the Assembly invites member states to guarantee that people with disabilities retain and exercise legal capacity on an equal basis with other members of society by: (...) 7.2 taking the necessary measures to ensure that, in accordance with the United Nations Convention on the Rights of Persons with Disabilities and its Optional Protocol, people placed under guardianship are not deprived of their fundamental rights (not least the rights to own property, to work, to a family life, to marry, </w:t>
      </w:r>
      <w:r w:rsidRPr="00301C11">
        <w:rPr>
          <w:rFonts w:asciiTheme="minorHAnsi" w:hAnsiTheme="minorHAnsi" w:cstheme="minorHAnsi"/>
          <w:i/>
          <w:iCs/>
          <w:sz w:val="23"/>
          <w:szCs w:val="23"/>
          <w:u w:val="single"/>
        </w:rPr>
        <w:t>to vote</w:t>
      </w:r>
      <w:r w:rsidRPr="00301C11">
        <w:rPr>
          <w:rFonts w:asciiTheme="minorHAnsi" w:hAnsiTheme="minorHAnsi" w:cstheme="minorHAnsi"/>
          <w:i/>
          <w:iCs/>
          <w:sz w:val="23"/>
          <w:szCs w:val="23"/>
        </w:rPr>
        <w:t>, to form and join associations, to bring legal proceedings and to draw up a will), and, where they need external assistance so as to exercise those rights, that they are afforded appropriate support.”</w:t>
      </w:r>
      <w:r w:rsidRPr="00301C11">
        <w:rPr>
          <w:rFonts w:asciiTheme="minorHAnsi" w:hAnsiTheme="minorHAnsi" w:cstheme="minorHAnsi"/>
          <w:iCs/>
          <w:sz w:val="23"/>
          <w:szCs w:val="23"/>
        </w:rPr>
        <w:t>(emphasis added)</w:t>
      </w:r>
    </w:p>
    <w:p w14:paraId="0F7B9740" w14:textId="77777777" w:rsidR="00387FA4" w:rsidRPr="00301C11" w:rsidRDefault="00387FA4" w:rsidP="00E2757C">
      <w:pPr>
        <w:pStyle w:val="ListParagraph"/>
        <w:spacing w:line="240" w:lineRule="auto"/>
        <w:ind w:left="360"/>
        <w:jc w:val="both"/>
        <w:rPr>
          <w:rFonts w:asciiTheme="minorHAnsi" w:hAnsiTheme="minorHAnsi" w:cstheme="minorHAnsi"/>
          <w:sz w:val="23"/>
          <w:szCs w:val="23"/>
        </w:rPr>
      </w:pPr>
    </w:p>
    <w:p w14:paraId="72E40444" w14:textId="5962AE87" w:rsidR="00893717" w:rsidRPr="00301C11" w:rsidRDefault="00893717" w:rsidP="00E2757C">
      <w:pPr>
        <w:pStyle w:val="ListParagraph"/>
        <w:numPr>
          <w:ilvl w:val="0"/>
          <w:numId w:val="1"/>
        </w:numPr>
        <w:spacing w:line="240" w:lineRule="auto"/>
        <w:ind w:left="360" w:hanging="540"/>
        <w:jc w:val="both"/>
        <w:rPr>
          <w:rFonts w:asciiTheme="minorHAnsi" w:hAnsiTheme="minorHAnsi" w:cstheme="minorHAnsi"/>
          <w:sz w:val="23"/>
          <w:szCs w:val="23"/>
        </w:rPr>
      </w:pPr>
      <w:r w:rsidRPr="00301C11">
        <w:rPr>
          <w:rFonts w:asciiTheme="minorHAnsi" w:hAnsiTheme="minorHAnsi" w:cstheme="minorHAnsi"/>
          <w:sz w:val="23"/>
          <w:szCs w:val="23"/>
        </w:rPr>
        <w:t>More recently, on 10 March 2017, the P</w:t>
      </w:r>
      <w:r w:rsidR="00765E79" w:rsidRPr="00301C11">
        <w:rPr>
          <w:rFonts w:asciiTheme="minorHAnsi" w:hAnsiTheme="minorHAnsi" w:cstheme="minorHAnsi"/>
          <w:sz w:val="23"/>
          <w:szCs w:val="23"/>
        </w:rPr>
        <w:t xml:space="preserve">ACE </w:t>
      </w:r>
      <w:r w:rsidRPr="00301C11">
        <w:rPr>
          <w:rFonts w:asciiTheme="minorHAnsi" w:hAnsiTheme="minorHAnsi" w:cstheme="minorHAnsi"/>
          <w:sz w:val="23"/>
          <w:szCs w:val="23"/>
        </w:rPr>
        <w:t>adopted</w:t>
      </w:r>
      <w:r w:rsidR="00144DD0" w:rsidRPr="00301C11">
        <w:rPr>
          <w:rFonts w:asciiTheme="minorHAnsi" w:hAnsiTheme="minorHAnsi" w:cstheme="minorHAnsi"/>
          <w:sz w:val="23"/>
          <w:szCs w:val="23"/>
        </w:rPr>
        <w:t xml:space="preserve"> </w:t>
      </w:r>
      <w:r w:rsidR="00765E79" w:rsidRPr="00301C11">
        <w:rPr>
          <w:rFonts w:asciiTheme="minorHAnsi" w:hAnsiTheme="minorHAnsi" w:cstheme="minorHAnsi"/>
          <w:sz w:val="23"/>
          <w:szCs w:val="23"/>
        </w:rPr>
        <w:t>R</w:t>
      </w:r>
      <w:r w:rsidRPr="00301C11">
        <w:rPr>
          <w:rFonts w:asciiTheme="minorHAnsi" w:hAnsiTheme="minorHAnsi" w:cstheme="minorHAnsi"/>
          <w:sz w:val="23"/>
          <w:szCs w:val="23"/>
        </w:rPr>
        <w:t>esolution</w:t>
      </w:r>
      <w:r w:rsidR="005931D0" w:rsidRPr="00301C11">
        <w:rPr>
          <w:rFonts w:asciiTheme="minorHAnsi" w:hAnsiTheme="minorHAnsi" w:cstheme="minorHAnsi"/>
          <w:sz w:val="23"/>
          <w:szCs w:val="23"/>
        </w:rPr>
        <w:t xml:space="preserve"> 2155</w:t>
      </w:r>
      <w:r w:rsidR="00144DD0" w:rsidRPr="00301C11">
        <w:rPr>
          <w:rStyle w:val="FootnoteReference"/>
          <w:rFonts w:asciiTheme="minorHAnsi" w:hAnsiTheme="minorHAnsi" w:cstheme="minorHAnsi"/>
          <w:sz w:val="23"/>
          <w:szCs w:val="23"/>
        </w:rPr>
        <w:footnoteReference w:id="12"/>
      </w:r>
      <w:r w:rsidRPr="00301C11">
        <w:rPr>
          <w:rFonts w:asciiTheme="minorHAnsi" w:hAnsiTheme="minorHAnsi" w:cstheme="minorHAnsi"/>
          <w:sz w:val="23"/>
          <w:szCs w:val="23"/>
        </w:rPr>
        <w:t xml:space="preserve"> which states:</w:t>
      </w:r>
    </w:p>
    <w:p w14:paraId="61A13F82" w14:textId="77777777" w:rsidR="00893717" w:rsidRPr="00301C11" w:rsidRDefault="72B17112" w:rsidP="00E2757C">
      <w:pPr>
        <w:pStyle w:val="ListParagraph"/>
        <w:spacing w:line="240" w:lineRule="auto"/>
        <w:ind w:left="360"/>
        <w:jc w:val="both"/>
        <w:rPr>
          <w:rFonts w:asciiTheme="minorHAnsi" w:hAnsiTheme="minorHAnsi" w:cstheme="minorHAnsi"/>
          <w:i/>
          <w:iCs/>
          <w:sz w:val="23"/>
          <w:szCs w:val="23"/>
        </w:rPr>
      </w:pPr>
      <w:r w:rsidRPr="00301C11">
        <w:rPr>
          <w:rFonts w:asciiTheme="minorHAnsi" w:hAnsiTheme="minorHAnsi" w:cstheme="minorHAnsi"/>
          <w:sz w:val="23"/>
          <w:szCs w:val="23"/>
        </w:rPr>
        <w:t>“</w:t>
      </w:r>
      <w:r w:rsidRPr="00301C11">
        <w:rPr>
          <w:rFonts w:asciiTheme="minorHAnsi" w:hAnsiTheme="minorHAnsi" w:cstheme="minorHAnsi"/>
          <w:i/>
          <w:iCs/>
          <w:sz w:val="23"/>
          <w:szCs w:val="23"/>
        </w:rPr>
        <w:t>2. Political rights, such as the right to vote, stand for election and be elected, are fundamental human rights. Ensuring respect for the exercise of these rights by persons with disabilities does not mean creating a set of new rights or special rights for a specific category. Guaranteeing the respect of the political rights of persons with disabilities is a democratic issue relevant to the whole population, raising questions about the inclusiveness and efficiency of democratic systems.</w:t>
      </w:r>
    </w:p>
    <w:p w14:paraId="1B95BFB6" w14:textId="77777777" w:rsidR="00893717" w:rsidRPr="00301C11" w:rsidRDefault="72B17112" w:rsidP="00E2757C">
      <w:pPr>
        <w:pStyle w:val="ListParagraph"/>
        <w:spacing w:line="240" w:lineRule="auto"/>
        <w:ind w:left="360"/>
        <w:jc w:val="both"/>
        <w:rPr>
          <w:rFonts w:asciiTheme="minorHAnsi" w:hAnsiTheme="minorHAnsi" w:cstheme="minorHAnsi"/>
          <w:i/>
          <w:iCs/>
          <w:sz w:val="23"/>
          <w:szCs w:val="23"/>
        </w:rPr>
      </w:pPr>
      <w:r w:rsidRPr="00301C11">
        <w:rPr>
          <w:rFonts w:asciiTheme="minorHAnsi" w:hAnsiTheme="minorHAnsi" w:cstheme="minorHAnsi"/>
          <w:i/>
          <w:iCs/>
          <w:sz w:val="23"/>
          <w:szCs w:val="23"/>
        </w:rPr>
        <w:t>(...)</w:t>
      </w:r>
    </w:p>
    <w:p w14:paraId="6993510F" w14:textId="6174C12F" w:rsidR="00893717" w:rsidRPr="00301C11" w:rsidRDefault="72B17112" w:rsidP="00E2757C">
      <w:pPr>
        <w:pStyle w:val="ListParagraph"/>
        <w:spacing w:line="240" w:lineRule="auto"/>
        <w:ind w:left="360"/>
        <w:jc w:val="both"/>
        <w:rPr>
          <w:rFonts w:asciiTheme="minorHAnsi" w:hAnsiTheme="minorHAnsi" w:cstheme="minorHAnsi"/>
          <w:sz w:val="23"/>
          <w:szCs w:val="23"/>
        </w:rPr>
      </w:pPr>
      <w:r w:rsidRPr="00301C11">
        <w:rPr>
          <w:rFonts w:asciiTheme="minorHAnsi" w:hAnsiTheme="minorHAnsi" w:cstheme="minorHAnsi"/>
          <w:i/>
          <w:iCs/>
          <w:sz w:val="23"/>
          <w:szCs w:val="23"/>
        </w:rPr>
        <w:t>4. The Assembly is convinced that the participation of persons with disabilities in political life can contribute to breaking down stereotypes, changing mindsets and combating overall discrimination</w:t>
      </w:r>
      <w:r w:rsidRPr="00301C11">
        <w:rPr>
          <w:rFonts w:asciiTheme="minorHAnsi" w:hAnsiTheme="minorHAnsi" w:cstheme="minorHAnsi"/>
          <w:sz w:val="23"/>
          <w:szCs w:val="23"/>
        </w:rPr>
        <w:t>.” The PACE called on Member States to: “</w:t>
      </w:r>
      <w:r w:rsidRPr="00301C11">
        <w:rPr>
          <w:rFonts w:asciiTheme="minorHAnsi" w:hAnsiTheme="minorHAnsi" w:cstheme="minorHAnsi"/>
          <w:i/>
          <w:iCs/>
          <w:sz w:val="23"/>
          <w:szCs w:val="23"/>
        </w:rPr>
        <w:t>delink the right to vote from legal capacity and full guardianship and, recalling Assembly Resolution 2039 (2015), replace substitute decision-making mechanisms with supported decision-making mechanisms, in respect of their international commitments</w:t>
      </w:r>
      <w:r w:rsidRPr="00301C11">
        <w:rPr>
          <w:rFonts w:asciiTheme="minorHAnsi" w:hAnsiTheme="minorHAnsi" w:cstheme="minorHAnsi"/>
          <w:sz w:val="23"/>
          <w:szCs w:val="23"/>
        </w:rPr>
        <w:t>.”</w:t>
      </w:r>
    </w:p>
    <w:p w14:paraId="26D053A7" w14:textId="77777777" w:rsidR="00893717" w:rsidRPr="00301C11" w:rsidRDefault="00893717" w:rsidP="00E2757C">
      <w:pPr>
        <w:pStyle w:val="ListParagraph"/>
        <w:spacing w:line="240" w:lineRule="auto"/>
        <w:ind w:left="360"/>
        <w:jc w:val="both"/>
        <w:rPr>
          <w:rFonts w:asciiTheme="minorHAnsi" w:hAnsiTheme="minorHAnsi" w:cstheme="minorHAnsi"/>
          <w:sz w:val="23"/>
          <w:szCs w:val="23"/>
        </w:rPr>
      </w:pPr>
    </w:p>
    <w:p w14:paraId="2317ADD2" w14:textId="3C8CA560" w:rsidR="00F92700" w:rsidRPr="00301C11" w:rsidRDefault="00F92700" w:rsidP="00E2757C">
      <w:pPr>
        <w:pStyle w:val="ListParagraph"/>
        <w:numPr>
          <w:ilvl w:val="0"/>
          <w:numId w:val="1"/>
        </w:numPr>
        <w:spacing w:line="240" w:lineRule="auto"/>
        <w:ind w:left="360" w:hanging="567"/>
        <w:jc w:val="both"/>
        <w:rPr>
          <w:rFonts w:asciiTheme="minorHAnsi" w:hAnsiTheme="minorHAnsi" w:cstheme="minorHAnsi"/>
          <w:sz w:val="23"/>
          <w:szCs w:val="23"/>
        </w:rPr>
      </w:pPr>
      <w:r w:rsidRPr="00301C11">
        <w:rPr>
          <w:rFonts w:asciiTheme="minorHAnsi" w:hAnsiTheme="minorHAnsi" w:cstheme="minorHAnsi"/>
          <w:sz w:val="23"/>
          <w:szCs w:val="23"/>
        </w:rPr>
        <w:t>The Council of Europe’s Disability Action Plan 2006-2015 oblige</w:t>
      </w:r>
      <w:r w:rsidR="00847BDF" w:rsidRPr="00301C11">
        <w:rPr>
          <w:rFonts w:asciiTheme="minorHAnsi" w:hAnsiTheme="minorHAnsi" w:cstheme="minorHAnsi"/>
          <w:sz w:val="23"/>
          <w:szCs w:val="23"/>
        </w:rPr>
        <w:t>d</w:t>
      </w:r>
      <w:r w:rsidRPr="00301C11">
        <w:rPr>
          <w:rFonts w:asciiTheme="minorHAnsi" w:hAnsiTheme="minorHAnsi" w:cstheme="minorHAnsi"/>
          <w:sz w:val="23"/>
          <w:szCs w:val="23"/>
        </w:rPr>
        <w:t xml:space="preserve"> </w:t>
      </w:r>
      <w:r w:rsidR="00E779C8" w:rsidRPr="00301C11">
        <w:rPr>
          <w:rFonts w:asciiTheme="minorHAnsi" w:hAnsiTheme="minorHAnsi" w:cstheme="minorHAnsi"/>
          <w:sz w:val="23"/>
          <w:szCs w:val="23"/>
        </w:rPr>
        <w:t>M</w:t>
      </w:r>
      <w:r w:rsidRPr="00301C11">
        <w:rPr>
          <w:rFonts w:asciiTheme="minorHAnsi" w:hAnsiTheme="minorHAnsi" w:cstheme="minorHAnsi"/>
          <w:sz w:val="23"/>
          <w:szCs w:val="23"/>
        </w:rPr>
        <w:t xml:space="preserve">ember States </w:t>
      </w:r>
      <w:r w:rsidR="00847BDF" w:rsidRPr="00301C11">
        <w:rPr>
          <w:rFonts w:asciiTheme="minorHAnsi" w:hAnsiTheme="minorHAnsi" w:cstheme="minorHAnsi"/>
          <w:sz w:val="23"/>
          <w:szCs w:val="23"/>
        </w:rPr>
        <w:t>to “</w:t>
      </w:r>
      <w:r w:rsidR="00847BDF" w:rsidRPr="00301C11">
        <w:rPr>
          <w:rFonts w:asciiTheme="minorHAnsi" w:hAnsiTheme="minorHAnsi" w:cstheme="minorHAnsi"/>
          <w:i/>
          <w:iCs/>
          <w:sz w:val="23"/>
          <w:szCs w:val="23"/>
        </w:rPr>
        <w:t>ensure that no person with a disability is excluded from the right to vote or to stand for election on the basis of her/his disability</w:t>
      </w:r>
      <w:r w:rsidR="00847BDF" w:rsidRPr="00301C11">
        <w:rPr>
          <w:rFonts w:asciiTheme="minorHAnsi" w:hAnsiTheme="minorHAnsi" w:cstheme="minorHAnsi"/>
          <w:sz w:val="23"/>
          <w:szCs w:val="23"/>
        </w:rPr>
        <w:t>.”</w:t>
      </w:r>
      <w:r w:rsidR="00847BDF" w:rsidRPr="00301C11">
        <w:rPr>
          <w:rStyle w:val="FootnoteReference"/>
          <w:rFonts w:asciiTheme="minorHAnsi" w:hAnsiTheme="minorHAnsi" w:cstheme="minorHAnsi"/>
          <w:sz w:val="23"/>
          <w:szCs w:val="23"/>
        </w:rPr>
        <w:footnoteReference w:id="13"/>
      </w:r>
      <w:r w:rsidR="00893717" w:rsidRPr="00301C11">
        <w:rPr>
          <w:rFonts w:asciiTheme="minorHAnsi" w:hAnsiTheme="minorHAnsi" w:cstheme="minorHAnsi"/>
          <w:sz w:val="23"/>
          <w:szCs w:val="23"/>
        </w:rPr>
        <w:t xml:space="preserve"> </w:t>
      </w:r>
    </w:p>
    <w:p w14:paraId="5E9B9BAD" w14:textId="77777777" w:rsidR="00847BDF" w:rsidRPr="00301C11" w:rsidRDefault="00847BDF" w:rsidP="00E2757C">
      <w:pPr>
        <w:pStyle w:val="ListParagraph"/>
        <w:spacing w:line="240" w:lineRule="auto"/>
        <w:ind w:left="360"/>
        <w:jc w:val="both"/>
        <w:rPr>
          <w:rFonts w:asciiTheme="minorHAnsi" w:hAnsiTheme="minorHAnsi" w:cstheme="minorHAnsi"/>
          <w:sz w:val="23"/>
          <w:szCs w:val="23"/>
        </w:rPr>
      </w:pPr>
    </w:p>
    <w:p w14:paraId="5D6AC856" w14:textId="1E08E932" w:rsidR="00474851" w:rsidRPr="00301C11" w:rsidRDefault="72B17112" w:rsidP="00E2757C">
      <w:pPr>
        <w:pStyle w:val="ListParagraph"/>
        <w:numPr>
          <w:ilvl w:val="0"/>
          <w:numId w:val="1"/>
        </w:numPr>
        <w:spacing w:line="240" w:lineRule="auto"/>
        <w:ind w:left="360" w:hanging="567"/>
        <w:jc w:val="both"/>
        <w:rPr>
          <w:rFonts w:asciiTheme="minorHAnsi" w:hAnsiTheme="minorHAnsi" w:cstheme="minorHAnsi"/>
          <w:sz w:val="23"/>
          <w:szCs w:val="23"/>
        </w:rPr>
      </w:pPr>
      <w:r w:rsidRPr="00301C11">
        <w:rPr>
          <w:rFonts w:asciiTheme="minorHAnsi" w:hAnsiTheme="minorHAnsi" w:cstheme="minorHAnsi"/>
          <w:sz w:val="23"/>
          <w:szCs w:val="23"/>
        </w:rPr>
        <w:t xml:space="preserve">In Recommendation </w:t>
      </w:r>
      <w:hyperlink r:id="rId11">
        <w:r w:rsidRPr="00301C11">
          <w:rPr>
            <w:rFonts w:asciiTheme="minorHAnsi" w:eastAsia="Times New Roman" w:hAnsiTheme="minorHAnsi" w:cstheme="minorHAnsi"/>
            <w:sz w:val="23"/>
            <w:szCs w:val="23"/>
            <w:lang w:eastAsia="en-GB"/>
          </w:rPr>
          <w:t>CM/Rec(2011)14</w:t>
        </w:r>
      </w:hyperlink>
      <w:r w:rsidRPr="00301C11">
        <w:rPr>
          <w:rFonts w:asciiTheme="minorHAnsi" w:eastAsia="Times New Roman" w:hAnsiTheme="minorHAnsi" w:cstheme="minorHAnsi"/>
          <w:sz w:val="23"/>
          <w:szCs w:val="23"/>
          <w:lang w:eastAsia="en-GB"/>
        </w:rPr>
        <w:t xml:space="preserve"> to Member States</w:t>
      </w:r>
      <w:r w:rsidRPr="00301C11">
        <w:rPr>
          <w:rFonts w:asciiTheme="minorHAnsi" w:eastAsia="Times New Roman" w:hAnsiTheme="minorHAnsi" w:cstheme="minorHAnsi"/>
          <w:sz w:val="23"/>
          <w:szCs w:val="23"/>
          <w:lang w:val="bg-BG" w:eastAsia="en-GB"/>
        </w:rPr>
        <w:t xml:space="preserve"> </w:t>
      </w:r>
      <w:r w:rsidRPr="00301C11">
        <w:rPr>
          <w:rFonts w:asciiTheme="minorHAnsi" w:eastAsia="Times New Roman" w:hAnsiTheme="minorHAnsi" w:cstheme="minorHAnsi"/>
          <w:sz w:val="23"/>
          <w:szCs w:val="23"/>
          <w:lang w:eastAsia="en-GB"/>
        </w:rPr>
        <w:t>on the participation of persons with disabilities in political and public life, t</w:t>
      </w:r>
      <w:r w:rsidRPr="00301C11">
        <w:rPr>
          <w:rFonts w:asciiTheme="minorHAnsi" w:hAnsiTheme="minorHAnsi" w:cstheme="minorHAnsi"/>
          <w:sz w:val="23"/>
          <w:szCs w:val="23"/>
        </w:rPr>
        <w:t>he Committee of Ministers has made clear that all persons with disabilities have the right to vote on the same basis as other citizens and should not be deprived of this right by any decision or other measure based on their disability, cognitive functioning or perceived capacity</w:t>
      </w:r>
      <w:r w:rsidRPr="00301C11">
        <w:rPr>
          <w:rFonts w:asciiTheme="minorHAnsi" w:eastAsia="Times New Roman" w:hAnsiTheme="minorHAnsi" w:cstheme="minorHAnsi"/>
          <w:sz w:val="23"/>
          <w:szCs w:val="23"/>
          <w:lang w:eastAsia="en-GB"/>
        </w:rPr>
        <w:t>:</w:t>
      </w:r>
    </w:p>
    <w:p w14:paraId="029466EA" w14:textId="5D73D30F" w:rsidR="00474851" w:rsidRPr="00301C11" w:rsidRDefault="72B17112" w:rsidP="00E2757C">
      <w:pPr>
        <w:pStyle w:val="cmnormal"/>
        <w:spacing w:before="0" w:beforeAutospacing="0" w:after="0" w:afterAutospacing="0"/>
        <w:ind w:left="360"/>
        <w:jc w:val="both"/>
        <w:rPr>
          <w:rFonts w:asciiTheme="minorHAnsi" w:hAnsiTheme="minorHAnsi" w:cstheme="minorHAnsi"/>
          <w:i/>
          <w:iCs/>
          <w:sz w:val="23"/>
          <w:szCs w:val="23"/>
          <w:lang w:val="en-US"/>
        </w:rPr>
      </w:pPr>
      <w:r w:rsidRPr="00301C11">
        <w:rPr>
          <w:rStyle w:val="Strong"/>
          <w:rFonts w:asciiTheme="minorHAnsi" w:hAnsiTheme="minorHAnsi" w:cstheme="minorHAnsi"/>
          <w:b w:val="0"/>
          <w:i/>
          <w:iCs/>
          <w:sz w:val="23"/>
          <w:szCs w:val="23"/>
          <w:lang w:val="en-US"/>
        </w:rPr>
        <w:t>“</w:t>
      </w:r>
      <w:r w:rsidRPr="00301C11">
        <w:rPr>
          <w:rFonts w:asciiTheme="minorHAnsi" w:hAnsiTheme="minorHAnsi" w:cstheme="minorHAnsi"/>
          <w:i/>
          <w:iCs/>
          <w:sz w:val="23"/>
          <w:szCs w:val="23"/>
          <w:lang w:val="en-US"/>
        </w:rPr>
        <w:t xml:space="preserve">Bearing in mind the provisions of Action Line No. 12 “Legal protection” of the Council of Europe Disability Action Plan 2006-2015 and, as appropriate, Article 12 “Equal recognition before the law” of </w:t>
      </w:r>
      <w:r w:rsidRPr="00301C11">
        <w:rPr>
          <w:rFonts w:asciiTheme="minorHAnsi" w:hAnsiTheme="minorHAnsi" w:cstheme="minorHAnsi"/>
          <w:i/>
          <w:iCs/>
          <w:sz w:val="23"/>
          <w:szCs w:val="23"/>
          <w:lang w:val="en-US"/>
        </w:rPr>
        <w:lastRenderedPageBreak/>
        <w:t>the UNCRPD, member states should ensure that their legislation overall does not discriminate against persons with disabilities in political and public life. They should make support available to persons who may need assistance in exercising their legal capacity in various aspects of life, in particular when exercising their right to vote, which is a universal right, in particular under the terms of Article 29 of the UNCRPD, as in other international legal instruments to which member states are parties. Member states should ensure that their legislation is devoid, at all levels, of provisions depriving persons with disabilities of the right to vote or stand for election.</w:t>
      </w:r>
    </w:p>
    <w:p w14:paraId="156D560F" w14:textId="77777777" w:rsidR="00474851" w:rsidRPr="00301C11" w:rsidRDefault="00474851" w:rsidP="00E2757C">
      <w:pPr>
        <w:pStyle w:val="cmnormal"/>
        <w:spacing w:before="0" w:beforeAutospacing="0" w:after="0" w:afterAutospacing="0"/>
        <w:ind w:left="360"/>
        <w:jc w:val="both"/>
        <w:rPr>
          <w:rFonts w:asciiTheme="minorHAnsi" w:hAnsiTheme="minorHAnsi" w:cstheme="minorHAnsi"/>
          <w:i/>
          <w:sz w:val="23"/>
          <w:szCs w:val="23"/>
          <w:u w:val="single"/>
          <w:lang w:val="en-US"/>
        </w:rPr>
      </w:pPr>
    </w:p>
    <w:p w14:paraId="4F95BFF6" w14:textId="77777777" w:rsidR="00474851" w:rsidRPr="00301C11" w:rsidRDefault="72B17112" w:rsidP="00E2757C">
      <w:pPr>
        <w:pStyle w:val="cmnormal"/>
        <w:spacing w:before="0" w:beforeAutospacing="0" w:after="0" w:afterAutospacing="0"/>
        <w:ind w:left="360"/>
        <w:jc w:val="both"/>
        <w:rPr>
          <w:rFonts w:asciiTheme="minorHAnsi" w:hAnsiTheme="minorHAnsi" w:cstheme="minorHAnsi"/>
          <w:i/>
          <w:iCs/>
          <w:sz w:val="23"/>
          <w:szCs w:val="23"/>
          <w:lang w:val="en-US"/>
        </w:rPr>
      </w:pPr>
      <w:r w:rsidRPr="00301C11">
        <w:rPr>
          <w:rFonts w:asciiTheme="minorHAnsi" w:hAnsiTheme="minorHAnsi" w:cstheme="minorHAnsi"/>
          <w:i/>
          <w:iCs/>
          <w:sz w:val="23"/>
          <w:szCs w:val="23"/>
          <w:u w:val="single"/>
          <w:lang w:val="en-US"/>
        </w:rPr>
        <w:t>All persons with disabilities, whether they have physical, sensory, or intellectual impairments, mental health problems or chronic illnesses, have the right to vote on the same basis as other citizens, and should not be deprived of this right by any law limiting their legal capacity, by any judicial or other decision or by any other measure based on their disability, cognitive functioning or perceived capacity.</w:t>
      </w:r>
      <w:r w:rsidRPr="00301C11">
        <w:rPr>
          <w:rFonts w:asciiTheme="minorHAnsi" w:hAnsiTheme="minorHAnsi" w:cstheme="minorHAnsi"/>
          <w:i/>
          <w:iCs/>
          <w:sz w:val="23"/>
          <w:szCs w:val="23"/>
          <w:lang w:val="en-US"/>
        </w:rPr>
        <w:t xml:space="preserve"> </w:t>
      </w:r>
    </w:p>
    <w:p w14:paraId="0F3072AA" w14:textId="77777777" w:rsidR="00DF53FF" w:rsidRPr="00301C11" w:rsidRDefault="00DF53FF" w:rsidP="00E2757C">
      <w:pPr>
        <w:pStyle w:val="cmnormal"/>
        <w:spacing w:before="0" w:beforeAutospacing="0" w:after="0" w:afterAutospacing="0"/>
        <w:ind w:left="360"/>
        <w:jc w:val="both"/>
        <w:rPr>
          <w:rFonts w:asciiTheme="minorHAnsi" w:hAnsiTheme="minorHAnsi" w:cstheme="minorHAnsi"/>
          <w:i/>
          <w:sz w:val="23"/>
          <w:szCs w:val="23"/>
          <w:lang w:val="en-US"/>
        </w:rPr>
      </w:pPr>
    </w:p>
    <w:p w14:paraId="7E51AD8C" w14:textId="2EC34EB1" w:rsidR="00474851" w:rsidRPr="00301C11" w:rsidRDefault="72B17112" w:rsidP="00E2757C">
      <w:pPr>
        <w:pStyle w:val="cmnormal"/>
        <w:spacing w:before="0" w:beforeAutospacing="0" w:after="0" w:afterAutospacing="0"/>
        <w:ind w:left="360"/>
        <w:jc w:val="both"/>
        <w:rPr>
          <w:rFonts w:asciiTheme="minorHAnsi" w:hAnsiTheme="minorHAnsi" w:cstheme="minorHAnsi"/>
          <w:i/>
          <w:iCs/>
          <w:sz w:val="23"/>
          <w:szCs w:val="23"/>
          <w:lang w:val="en-US"/>
        </w:rPr>
      </w:pPr>
      <w:r w:rsidRPr="00301C11">
        <w:rPr>
          <w:rFonts w:asciiTheme="minorHAnsi" w:hAnsiTheme="minorHAnsi" w:cstheme="minorHAnsi"/>
          <w:i/>
          <w:iCs/>
          <w:sz w:val="23"/>
          <w:szCs w:val="23"/>
          <w:lang w:val="en-US"/>
        </w:rPr>
        <w:t xml:space="preserve">Member states should ensure that discrimination based on disability is prohibited in all fields of political and public life, namely wherever it is a question of voting, standing for election, exercising a mandate and/or being active in political parties or non-governmental </w:t>
      </w:r>
      <w:proofErr w:type="spellStart"/>
      <w:r w:rsidRPr="00301C11">
        <w:rPr>
          <w:rFonts w:asciiTheme="minorHAnsi" w:hAnsiTheme="minorHAnsi" w:cstheme="minorHAnsi"/>
          <w:i/>
          <w:iCs/>
          <w:sz w:val="23"/>
          <w:szCs w:val="23"/>
          <w:lang w:val="en-US"/>
        </w:rPr>
        <w:t>organisations</w:t>
      </w:r>
      <w:proofErr w:type="spellEnd"/>
      <w:r w:rsidRPr="00301C11">
        <w:rPr>
          <w:rFonts w:asciiTheme="minorHAnsi" w:hAnsiTheme="minorHAnsi" w:cstheme="minorHAnsi"/>
          <w:i/>
          <w:iCs/>
          <w:sz w:val="23"/>
          <w:szCs w:val="23"/>
          <w:lang w:val="en-US"/>
        </w:rPr>
        <w:t xml:space="preserve">, or exercising public duties. These discriminatory acts include the failure to comply with the obligation to implement reasonable accommodations (see point 2 above, “Accessibility”) for persons with disabilities so that they can fully enjoy their political rights.” </w:t>
      </w:r>
      <w:r w:rsidRPr="00301C11">
        <w:rPr>
          <w:rFonts w:asciiTheme="minorHAnsi" w:hAnsiTheme="minorHAnsi" w:cstheme="minorHAnsi"/>
          <w:sz w:val="23"/>
          <w:szCs w:val="23"/>
        </w:rPr>
        <w:t>(emphasis added).</w:t>
      </w:r>
    </w:p>
    <w:p w14:paraId="3ABAC893" w14:textId="77777777" w:rsidR="00E719EC" w:rsidRPr="00301C11" w:rsidRDefault="00E719EC" w:rsidP="00E2757C">
      <w:pPr>
        <w:pStyle w:val="cmnormal"/>
        <w:spacing w:before="0" w:beforeAutospacing="0" w:after="0" w:afterAutospacing="0"/>
        <w:ind w:left="360"/>
        <w:jc w:val="both"/>
        <w:rPr>
          <w:rFonts w:asciiTheme="minorHAnsi" w:hAnsiTheme="minorHAnsi" w:cstheme="minorHAnsi"/>
          <w:i/>
          <w:sz w:val="23"/>
          <w:szCs w:val="23"/>
          <w:lang w:val="en-US"/>
        </w:rPr>
      </w:pPr>
    </w:p>
    <w:p w14:paraId="724C5FDB" w14:textId="30865DA6" w:rsidR="00E719EC" w:rsidRPr="00301C11" w:rsidRDefault="00E719EC" w:rsidP="00E2757C">
      <w:pPr>
        <w:pStyle w:val="ListParagraph"/>
        <w:numPr>
          <w:ilvl w:val="0"/>
          <w:numId w:val="1"/>
        </w:numPr>
        <w:autoSpaceDE w:val="0"/>
        <w:autoSpaceDN w:val="0"/>
        <w:adjustRightInd w:val="0"/>
        <w:spacing w:line="240" w:lineRule="auto"/>
        <w:ind w:left="360" w:hanging="540"/>
        <w:jc w:val="both"/>
        <w:rPr>
          <w:rFonts w:asciiTheme="minorHAnsi" w:hAnsiTheme="minorHAnsi" w:cstheme="minorHAnsi"/>
          <w:sz w:val="23"/>
          <w:szCs w:val="23"/>
        </w:rPr>
      </w:pPr>
      <w:r w:rsidRPr="00301C11">
        <w:rPr>
          <w:rFonts w:asciiTheme="minorHAnsi" w:hAnsiTheme="minorHAnsi" w:cstheme="minorHAnsi"/>
          <w:sz w:val="23"/>
          <w:szCs w:val="23"/>
        </w:rPr>
        <w:t xml:space="preserve">The Venice Commission’s </w:t>
      </w:r>
      <w:r w:rsidR="00F00254" w:rsidRPr="00301C11">
        <w:rPr>
          <w:rFonts w:asciiTheme="minorHAnsi" w:hAnsiTheme="minorHAnsi" w:cstheme="minorHAnsi"/>
          <w:sz w:val="23"/>
          <w:szCs w:val="23"/>
        </w:rPr>
        <w:t xml:space="preserve">Revised interpretative declaration to the </w:t>
      </w:r>
      <w:r w:rsidRPr="00301C11">
        <w:rPr>
          <w:rFonts w:asciiTheme="minorHAnsi" w:hAnsiTheme="minorHAnsi" w:cstheme="minorHAnsi"/>
          <w:sz w:val="23"/>
          <w:szCs w:val="23"/>
        </w:rPr>
        <w:t>Code of Good Practice</w:t>
      </w:r>
      <w:r w:rsidR="00F00254" w:rsidRPr="00301C11">
        <w:rPr>
          <w:rFonts w:asciiTheme="minorHAnsi" w:hAnsiTheme="minorHAnsi" w:cstheme="minorHAnsi"/>
          <w:sz w:val="23"/>
          <w:szCs w:val="23"/>
        </w:rPr>
        <w:t xml:space="preserve"> in Electoral Matters on the Participation of People with Disabilities in Elections</w:t>
      </w:r>
      <w:r w:rsidRPr="00301C11">
        <w:rPr>
          <w:rFonts w:asciiTheme="minorHAnsi" w:hAnsiTheme="minorHAnsi" w:cstheme="minorHAnsi"/>
          <w:sz w:val="23"/>
          <w:szCs w:val="23"/>
        </w:rPr>
        <w:t xml:space="preserve"> makes clear that people with disabilities should be able to exercise their right to vote on an equal basis with other citizens</w:t>
      </w:r>
      <w:r w:rsidR="006E5D78" w:rsidRPr="00301C11">
        <w:rPr>
          <w:rFonts w:asciiTheme="minorHAnsi" w:hAnsiTheme="minorHAnsi" w:cstheme="minorHAnsi"/>
          <w:sz w:val="23"/>
          <w:szCs w:val="23"/>
        </w:rPr>
        <w:t>.</w:t>
      </w:r>
      <w:r w:rsidR="006E5D78" w:rsidRPr="00301C11">
        <w:rPr>
          <w:rStyle w:val="FootnoteReference"/>
          <w:rFonts w:asciiTheme="minorHAnsi" w:hAnsiTheme="minorHAnsi" w:cstheme="minorHAnsi"/>
          <w:sz w:val="23"/>
          <w:szCs w:val="23"/>
        </w:rPr>
        <w:footnoteReference w:id="14"/>
      </w:r>
      <w:r w:rsidR="006E5D78" w:rsidRPr="00301C11">
        <w:rPr>
          <w:rFonts w:asciiTheme="minorHAnsi" w:hAnsiTheme="minorHAnsi" w:cstheme="minorHAnsi"/>
          <w:sz w:val="23"/>
          <w:szCs w:val="23"/>
        </w:rPr>
        <w:t xml:space="preserve"> </w:t>
      </w:r>
      <w:r w:rsidRPr="00301C11">
        <w:rPr>
          <w:rFonts w:asciiTheme="minorHAnsi" w:hAnsiTheme="minorHAnsi" w:cstheme="minorHAnsi"/>
          <w:sz w:val="23"/>
          <w:szCs w:val="23"/>
        </w:rPr>
        <w:t xml:space="preserve">The </w:t>
      </w:r>
      <w:r w:rsidR="00F00254" w:rsidRPr="00301C11">
        <w:rPr>
          <w:rFonts w:asciiTheme="minorHAnsi" w:hAnsiTheme="minorHAnsi" w:cstheme="minorHAnsi"/>
          <w:sz w:val="23"/>
          <w:szCs w:val="23"/>
        </w:rPr>
        <w:t xml:space="preserve">declaration </w:t>
      </w:r>
      <w:r w:rsidRPr="00301C11">
        <w:rPr>
          <w:rFonts w:asciiTheme="minorHAnsi" w:hAnsiTheme="minorHAnsi" w:cstheme="minorHAnsi"/>
          <w:sz w:val="23"/>
          <w:szCs w:val="23"/>
        </w:rPr>
        <w:t>identifies the five principles underlying Europe’s electoral heritage: universal, equal, free, secret and direct suffrage. It states</w:t>
      </w:r>
      <w:r w:rsidR="0095764A" w:rsidRPr="00301C11">
        <w:rPr>
          <w:rFonts w:asciiTheme="minorHAnsi" w:hAnsiTheme="minorHAnsi" w:cstheme="minorHAnsi"/>
          <w:sz w:val="23"/>
          <w:szCs w:val="23"/>
        </w:rPr>
        <w:t xml:space="preserve"> that</w:t>
      </w:r>
      <w:r w:rsidRPr="00301C11">
        <w:rPr>
          <w:rFonts w:asciiTheme="minorHAnsi" w:hAnsiTheme="minorHAnsi" w:cstheme="minorHAnsi"/>
          <w:sz w:val="23"/>
          <w:szCs w:val="23"/>
        </w:rPr>
        <w:t xml:space="preserve"> “</w:t>
      </w:r>
      <w:r w:rsidRPr="00301C11">
        <w:rPr>
          <w:rFonts w:asciiTheme="minorHAnsi" w:hAnsiTheme="minorHAnsi" w:cstheme="minorHAnsi"/>
          <w:i/>
          <w:iCs/>
          <w:sz w:val="23"/>
          <w:szCs w:val="23"/>
        </w:rPr>
        <w:t>Universal Suffrage means in principle that all human beings have the right to vote and to stand for elections</w:t>
      </w:r>
      <w:r w:rsidRPr="00301C11">
        <w:rPr>
          <w:rFonts w:asciiTheme="minorHAnsi" w:hAnsiTheme="minorHAnsi" w:cstheme="minorHAnsi"/>
          <w:sz w:val="23"/>
          <w:szCs w:val="23"/>
        </w:rPr>
        <w:t>”, adding</w:t>
      </w:r>
      <w:r w:rsidR="00144DD0" w:rsidRPr="00301C11">
        <w:rPr>
          <w:rFonts w:asciiTheme="minorHAnsi" w:hAnsiTheme="minorHAnsi" w:cstheme="minorHAnsi"/>
          <w:sz w:val="23"/>
          <w:szCs w:val="23"/>
        </w:rPr>
        <w:t xml:space="preserve"> that</w:t>
      </w:r>
      <w:r w:rsidR="00D8368D" w:rsidRPr="00301C11">
        <w:rPr>
          <w:rFonts w:asciiTheme="minorHAnsi" w:hAnsiTheme="minorHAnsi" w:cstheme="minorHAnsi"/>
          <w:sz w:val="23"/>
          <w:szCs w:val="23"/>
        </w:rPr>
        <w:t>,</w:t>
      </w:r>
      <w:r w:rsidR="00144DD0" w:rsidRPr="00301C11">
        <w:rPr>
          <w:rFonts w:asciiTheme="minorHAnsi" w:hAnsiTheme="minorHAnsi" w:cstheme="minorHAnsi"/>
          <w:sz w:val="23"/>
          <w:szCs w:val="23"/>
        </w:rPr>
        <w:t xml:space="preserve"> </w:t>
      </w:r>
      <w:r w:rsidR="00866CC3" w:rsidRPr="00301C11">
        <w:rPr>
          <w:rFonts w:asciiTheme="minorHAnsi" w:hAnsiTheme="minorHAnsi" w:cstheme="minorHAnsi"/>
          <w:i/>
          <w:iCs/>
          <w:sz w:val="23"/>
          <w:szCs w:val="23"/>
        </w:rPr>
        <w:t>“</w:t>
      </w:r>
      <w:r w:rsidR="00144DD0" w:rsidRPr="00301C11">
        <w:rPr>
          <w:rFonts w:asciiTheme="minorHAnsi" w:hAnsiTheme="minorHAnsi" w:cstheme="minorHAnsi"/>
          <w:i/>
          <w:iCs/>
          <w:sz w:val="23"/>
          <w:szCs w:val="23"/>
        </w:rPr>
        <w:t>[p]</w:t>
      </w:r>
      <w:proofErr w:type="spellStart"/>
      <w:r w:rsidRPr="00301C11">
        <w:rPr>
          <w:rFonts w:asciiTheme="minorHAnsi" w:hAnsiTheme="minorHAnsi" w:cstheme="minorHAnsi"/>
          <w:i/>
          <w:iCs/>
          <w:sz w:val="23"/>
          <w:szCs w:val="23"/>
        </w:rPr>
        <w:t>eople</w:t>
      </w:r>
      <w:proofErr w:type="spellEnd"/>
      <w:r w:rsidRPr="00301C11">
        <w:rPr>
          <w:rFonts w:asciiTheme="minorHAnsi" w:hAnsiTheme="minorHAnsi" w:cstheme="minorHAnsi"/>
          <w:i/>
          <w:iCs/>
          <w:sz w:val="23"/>
          <w:szCs w:val="23"/>
        </w:rPr>
        <w:t xml:space="preserve"> with disabilities should therefore be able to exercise their right to vote and participate in political and public life as elected representatives on an equal basis with other citizens. The participation of all citizens in political and public life and the democratic process is essential for the development of democratic societies</w:t>
      </w:r>
      <w:r w:rsidR="00144DD0" w:rsidRPr="00301C11">
        <w:rPr>
          <w:rFonts w:asciiTheme="minorHAnsi" w:hAnsiTheme="minorHAnsi" w:cstheme="minorHAnsi"/>
          <w:i/>
          <w:iCs/>
          <w:sz w:val="23"/>
          <w:szCs w:val="23"/>
        </w:rPr>
        <w:t>”</w:t>
      </w:r>
      <w:r w:rsidR="00D8368D" w:rsidRPr="00301C11">
        <w:rPr>
          <w:rFonts w:asciiTheme="minorHAnsi" w:hAnsiTheme="minorHAnsi" w:cstheme="minorHAnsi"/>
          <w:i/>
          <w:iCs/>
          <w:sz w:val="23"/>
          <w:szCs w:val="23"/>
        </w:rPr>
        <w:t>.</w:t>
      </w:r>
      <w:r w:rsidR="00144DD0" w:rsidRPr="00301C11">
        <w:rPr>
          <w:rFonts w:asciiTheme="minorHAnsi" w:hAnsiTheme="minorHAnsi" w:cstheme="minorHAnsi"/>
          <w:i/>
          <w:iCs/>
          <w:sz w:val="23"/>
          <w:szCs w:val="23"/>
        </w:rPr>
        <w:t xml:space="preserve"> </w:t>
      </w:r>
      <w:r w:rsidR="00D8368D" w:rsidRPr="00301C11">
        <w:rPr>
          <w:rFonts w:asciiTheme="minorHAnsi" w:hAnsiTheme="minorHAnsi" w:cstheme="minorHAnsi"/>
          <w:sz w:val="23"/>
          <w:szCs w:val="23"/>
        </w:rPr>
        <w:t>It went on to state</w:t>
      </w:r>
      <w:r w:rsidR="00144DD0" w:rsidRPr="00301C11">
        <w:rPr>
          <w:rFonts w:asciiTheme="minorHAnsi" w:hAnsiTheme="minorHAnsi" w:cstheme="minorHAnsi"/>
          <w:sz w:val="23"/>
          <w:szCs w:val="23"/>
        </w:rPr>
        <w:t xml:space="preserve"> that</w:t>
      </w:r>
      <w:r w:rsidR="00D8368D" w:rsidRPr="00301C11">
        <w:rPr>
          <w:rFonts w:asciiTheme="minorHAnsi" w:hAnsiTheme="minorHAnsi" w:cstheme="minorHAnsi"/>
          <w:sz w:val="23"/>
          <w:szCs w:val="23"/>
        </w:rPr>
        <w:t>,</w:t>
      </w:r>
      <w:r w:rsidR="00144DD0" w:rsidRPr="00301C11">
        <w:rPr>
          <w:rFonts w:asciiTheme="minorHAnsi" w:hAnsiTheme="minorHAnsi" w:cstheme="minorHAnsi"/>
          <w:i/>
          <w:iCs/>
          <w:sz w:val="23"/>
          <w:szCs w:val="23"/>
        </w:rPr>
        <w:t xml:space="preserve"> “[v]</w:t>
      </w:r>
      <w:proofErr w:type="spellStart"/>
      <w:r w:rsidRPr="00301C11">
        <w:rPr>
          <w:rFonts w:asciiTheme="minorHAnsi" w:hAnsiTheme="minorHAnsi" w:cstheme="minorHAnsi"/>
          <w:i/>
          <w:iCs/>
          <w:sz w:val="23"/>
          <w:szCs w:val="23"/>
        </w:rPr>
        <w:t>oting</w:t>
      </w:r>
      <w:proofErr w:type="spellEnd"/>
      <w:r w:rsidRPr="00301C11">
        <w:rPr>
          <w:rFonts w:asciiTheme="minorHAnsi" w:hAnsiTheme="minorHAnsi" w:cstheme="minorHAnsi"/>
          <w:i/>
          <w:iCs/>
          <w:sz w:val="23"/>
          <w:szCs w:val="23"/>
        </w:rPr>
        <w:t xml:space="preserve"> procedures and facilities should be accessible to people with disabilities so that they are able to exercise their democratic rights, and allow, where necessary, the provision of assistance in voting, with respect to the principle that voting must be individual.</w:t>
      </w:r>
      <w:r w:rsidR="00866CC3" w:rsidRPr="00301C11">
        <w:rPr>
          <w:rFonts w:asciiTheme="minorHAnsi" w:hAnsiTheme="minorHAnsi" w:cstheme="minorHAnsi"/>
          <w:i/>
          <w:iCs/>
          <w:sz w:val="23"/>
          <w:szCs w:val="23"/>
        </w:rPr>
        <w:t>”</w:t>
      </w:r>
    </w:p>
    <w:p w14:paraId="7BA5D063" w14:textId="77777777" w:rsidR="00E719EC" w:rsidRPr="00301C11" w:rsidRDefault="00E719EC" w:rsidP="00E2757C">
      <w:pPr>
        <w:pStyle w:val="cmnormal"/>
        <w:spacing w:before="0" w:beforeAutospacing="0" w:after="0" w:afterAutospacing="0"/>
        <w:ind w:left="360"/>
        <w:jc w:val="both"/>
        <w:rPr>
          <w:rFonts w:asciiTheme="minorHAnsi" w:hAnsiTheme="minorHAnsi" w:cstheme="minorHAnsi"/>
          <w:i/>
          <w:sz w:val="23"/>
          <w:szCs w:val="23"/>
          <w:lang w:val="en-US"/>
        </w:rPr>
      </w:pPr>
    </w:p>
    <w:p w14:paraId="55727048" w14:textId="24F7EC05" w:rsidR="00E67754" w:rsidRPr="00301C11" w:rsidRDefault="005931D0" w:rsidP="00E2757C">
      <w:pPr>
        <w:pStyle w:val="ListParagraph"/>
        <w:numPr>
          <w:ilvl w:val="0"/>
          <w:numId w:val="1"/>
        </w:numPr>
        <w:spacing w:line="240" w:lineRule="auto"/>
        <w:ind w:left="360" w:hanging="567"/>
        <w:jc w:val="both"/>
        <w:rPr>
          <w:rFonts w:asciiTheme="minorHAnsi" w:hAnsiTheme="minorHAnsi" w:cstheme="minorHAnsi"/>
          <w:sz w:val="23"/>
          <w:szCs w:val="23"/>
        </w:rPr>
      </w:pPr>
      <w:r w:rsidRPr="00301C11">
        <w:rPr>
          <w:rFonts w:asciiTheme="minorHAnsi" w:hAnsiTheme="minorHAnsi" w:cstheme="minorHAnsi"/>
          <w:sz w:val="23"/>
          <w:szCs w:val="23"/>
        </w:rPr>
        <w:t xml:space="preserve">These international standards make no distinction between blanket bans on voting and bans based on individual capacity assessments. They prohibit </w:t>
      </w:r>
      <w:r w:rsidRPr="00301C11">
        <w:rPr>
          <w:rFonts w:asciiTheme="minorHAnsi" w:hAnsiTheme="minorHAnsi" w:cstheme="minorHAnsi"/>
          <w:sz w:val="23"/>
          <w:szCs w:val="23"/>
          <w:u w:val="single"/>
        </w:rPr>
        <w:t>any</w:t>
      </w:r>
      <w:r w:rsidRPr="00301C11">
        <w:rPr>
          <w:rFonts w:asciiTheme="minorHAnsi" w:hAnsiTheme="minorHAnsi" w:cstheme="minorHAnsi"/>
          <w:sz w:val="23"/>
          <w:szCs w:val="23"/>
        </w:rPr>
        <w:t xml:space="preserve"> restriction of the right to vote on the basis of disability, including on the basis of individualised capacity assessments. </w:t>
      </w:r>
      <w:r w:rsidR="72B17112" w:rsidRPr="00301C11">
        <w:rPr>
          <w:rFonts w:asciiTheme="minorHAnsi" w:hAnsiTheme="minorHAnsi" w:cstheme="minorHAnsi"/>
          <w:sz w:val="23"/>
          <w:szCs w:val="23"/>
        </w:rPr>
        <w:t xml:space="preserve">Thomas </w:t>
      </w:r>
      <w:proofErr w:type="spellStart"/>
      <w:r w:rsidR="72B17112" w:rsidRPr="00301C11">
        <w:rPr>
          <w:rFonts w:asciiTheme="minorHAnsi" w:hAnsiTheme="minorHAnsi" w:cstheme="minorHAnsi"/>
          <w:sz w:val="23"/>
          <w:szCs w:val="23"/>
        </w:rPr>
        <w:t>Hammarberg</w:t>
      </w:r>
      <w:proofErr w:type="spellEnd"/>
      <w:r w:rsidR="72B17112" w:rsidRPr="00301C11">
        <w:rPr>
          <w:rFonts w:asciiTheme="minorHAnsi" w:hAnsiTheme="minorHAnsi" w:cstheme="minorHAnsi"/>
          <w:sz w:val="23"/>
          <w:szCs w:val="23"/>
        </w:rPr>
        <w:t xml:space="preserve">, the Council of Europe Commissioner for Human Rights </w:t>
      </w:r>
      <w:r w:rsidRPr="00301C11">
        <w:rPr>
          <w:rFonts w:asciiTheme="minorHAnsi" w:hAnsiTheme="minorHAnsi" w:cstheme="minorHAnsi"/>
          <w:sz w:val="23"/>
          <w:szCs w:val="23"/>
        </w:rPr>
        <w:t xml:space="preserve">addressed this in </w:t>
      </w:r>
      <w:r w:rsidR="72B17112" w:rsidRPr="00301C11">
        <w:rPr>
          <w:rFonts w:asciiTheme="minorHAnsi" w:hAnsiTheme="minorHAnsi" w:cstheme="minorHAnsi"/>
          <w:sz w:val="23"/>
          <w:szCs w:val="23"/>
        </w:rPr>
        <w:t>his statement dated 22 March 2011</w:t>
      </w:r>
      <w:r w:rsidRPr="00301C11">
        <w:rPr>
          <w:rFonts w:asciiTheme="minorHAnsi" w:hAnsiTheme="minorHAnsi" w:cstheme="minorHAnsi"/>
          <w:sz w:val="23"/>
          <w:szCs w:val="23"/>
        </w:rPr>
        <w:t xml:space="preserve"> when he discussed this </w:t>
      </w:r>
      <w:r w:rsidR="72B17112" w:rsidRPr="00301C11">
        <w:rPr>
          <w:rFonts w:asciiTheme="minorHAnsi" w:hAnsiTheme="minorHAnsi" w:cstheme="minorHAnsi"/>
          <w:sz w:val="23"/>
          <w:szCs w:val="23"/>
        </w:rPr>
        <w:t xml:space="preserve">Court’s decision in </w:t>
      </w:r>
      <w:r w:rsidR="72B17112" w:rsidRPr="00301C11">
        <w:rPr>
          <w:rFonts w:asciiTheme="minorHAnsi" w:hAnsiTheme="minorHAnsi" w:cstheme="minorHAnsi"/>
          <w:i/>
          <w:iCs/>
          <w:sz w:val="23"/>
          <w:szCs w:val="23"/>
        </w:rPr>
        <w:t>Kiss v</w:t>
      </w:r>
      <w:r w:rsidRPr="00301C11">
        <w:rPr>
          <w:rFonts w:asciiTheme="minorHAnsi" w:hAnsiTheme="minorHAnsi" w:cstheme="minorHAnsi"/>
          <w:i/>
          <w:iCs/>
          <w:sz w:val="23"/>
          <w:szCs w:val="23"/>
        </w:rPr>
        <w:t>.</w:t>
      </w:r>
      <w:r w:rsidR="72B17112" w:rsidRPr="00301C11">
        <w:rPr>
          <w:rFonts w:asciiTheme="minorHAnsi" w:hAnsiTheme="minorHAnsi" w:cstheme="minorHAnsi"/>
          <w:i/>
          <w:iCs/>
          <w:sz w:val="23"/>
          <w:szCs w:val="23"/>
        </w:rPr>
        <w:t xml:space="preserve"> Hungary</w:t>
      </w:r>
      <w:r w:rsidR="72B17112" w:rsidRPr="00301C11">
        <w:rPr>
          <w:rFonts w:asciiTheme="minorHAnsi" w:hAnsiTheme="minorHAnsi" w:cstheme="minorHAnsi"/>
          <w:sz w:val="23"/>
          <w:szCs w:val="23"/>
        </w:rPr>
        <w:t xml:space="preserve"> </w:t>
      </w:r>
      <w:r w:rsidRPr="00301C11">
        <w:rPr>
          <w:rFonts w:asciiTheme="minorHAnsi" w:hAnsiTheme="minorHAnsi" w:cstheme="minorHAnsi"/>
          <w:sz w:val="23"/>
          <w:szCs w:val="23"/>
        </w:rPr>
        <w:t xml:space="preserve">in relation to </w:t>
      </w:r>
      <w:r w:rsidR="72B17112" w:rsidRPr="00301C11">
        <w:rPr>
          <w:rFonts w:asciiTheme="minorHAnsi" w:hAnsiTheme="minorHAnsi" w:cstheme="minorHAnsi"/>
          <w:sz w:val="23"/>
          <w:szCs w:val="23"/>
        </w:rPr>
        <w:t xml:space="preserve">CRPD </w:t>
      </w:r>
      <w:r w:rsidRPr="00301C11">
        <w:rPr>
          <w:rFonts w:asciiTheme="minorHAnsi" w:hAnsiTheme="minorHAnsi" w:cstheme="minorHAnsi"/>
          <w:sz w:val="23"/>
          <w:szCs w:val="23"/>
        </w:rPr>
        <w:t xml:space="preserve">standards </w:t>
      </w:r>
      <w:r w:rsidR="72B17112" w:rsidRPr="00301C11">
        <w:rPr>
          <w:rFonts w:asciiTheme="minorHAnsi" w:hAnsiTheme="minorHAnsi" w:cstheme="minorHAnsi"/>
          <w:sz w:val="23"/>
          <w:szCs w:val="23"/>
        </w:rPr>
        <w:t xml:space="preserve">and </w:t>
      </w:r>
      <w:r w:rsidRPr="00301C11">
        <w:rPr>
          <w:rFonts w:asciiTheme="minorHAnsi" w:hAnsiTheme="minorHAnsi" w:cstheme="minorHAnsi"/>
          <w:sz w:val="23"/>
          <w:szCs w:val="23"/>
        </w:rPr>
        <w:t xml:space="preserve">reflected </w:t>
      </w:r>
      <w:r w:rsidR="72B17112" w:rsidRPr="00301C11">
        <w:rPr>
          <w:rFonts w:asciiTheme="minorHAnsi" w:hAnsiTheme="minorHAnsi" w:cstheme="minorHAnsi"/>
          <w:sz w:val="23"/>
          <w:szCs w:val="23"/>
        </w:rPr>
        <w:t>on the discriminatory nature of mental capacity tests assessing the ‘voting competence’ of people with mental disabilities:</w:t>
      </w:r>
    </w:p>
    <w:p w14:paraId="1037957B" w14:textId="77777777" w:rsidR="006F231A" w:rsidRPr="00301C11" w:rsidRDefault="72B17112" w:rsidP="006F231A">
      <w:pPr>
        <w:pStyle w:val="ListParagraph"/>
        <w:spacing w:line="240" w:lineRule="auto"/>
        <w:ind w:left="360"/>
        <w:jc w:val="both"/>
        <w:rPr>
          <w:rFonts w:asciiTheme="minorHAnsi" w:hAnsiTheme="minorHAnsi" w:cstheme="minorHAnsi"/>
          <w:i/>
          <w:iCs/>
          <w:sz w:val="23"/>
          <w:szCs w:val="23"/>
        </w:rPr>
      </w:pPr>
      <w:r w:rsidRPr="00301C11">
        <w:rPr>
          <w:rFonts w:asciiTheme="minorHAnsi" w:hAnsiTheme="minorHAnsi" w:cstheme="minorHAnsi"/>
          <w:sz w:val="23"/>
          <w:szCs w:val="23"/>
        </w:rPr>
        <w:t>“</w:t>
      </w:r>
      <w:r w:rsidRPr="00301C11">
        <w:rPr>
          <w:rFonts w:asciiTheme="minorHAnsi" w:hAnsiTheme="minorHAnsi" w:cstheme="minorHAnsi"/>
          <w:i/>
          <w:iCs/>
          <w:sz w:val="23"/>
          <w:szCs w:val="23"/>
        </w:rPr>
        <w:t>...the Court ruling did not exclude the possibility in all circumstances of depriving a person of the right to vote – as long as the criteria and the procedures were acceptable. This makes it necessary to discuss the precise meaning of some key passages in the UN Convention on the Rights of Persons with Disabilities, which is more specific on this matter.</w:t>
      </w:r>
    </w:p>
    <w:p w14:paraId="09C04421" w14:textId="77777777" w:rsidR="005931D0" w:rsidRPr="00301C11" w:rsidRDefault="005931D0" w:rsidP="006F231A">
      <w:pPr>
        <w:pStyle w:val="ListParagraph"/>
        <w:spacing w:line="240" w:lineRule="auto"/>
        <w:ind w:left="360"/>
        <w:jc w:val="both"/>
        <w:rPr>
          <w:rFonts w:asciiTheme="minorHAnsi" w:hAnsiTheme="minorHAnsi" w:cstheme="minorHAnsi"/>
          <w:i/>
          <w:iCs/>
          <w:sz w:val="23"/>
          <w:szCs w:val="23"/>
        </w:rPr>
      </w:pPr>
    </w:p>
    <w:p w14:paraId="6F321A82" w14:textId="3F5061AF" w:rsidR="00E67754" w:rsidRPr="00301C11" w:rsidRDefault="72B17112" w:rsidP="006F231A">
      <w:pPr>
        <w:pStyle w:val="ListParagraph"/>
        <w:spacing w:line="240" w:lineRule="auto"/>
        <w:ind w:left="360"/>
        <w:jc w:val="both"/>
        <w:rPr>
          <w:rFonts w:asciiTheme="minorHAnsi" w:hAnsiTheme="minorHAnsi" w:cstheme="minorHAnsi"/>
          <w:i/>
          <w:iCs/>
          <w:sz w:val="23"/>
          <w:szCs w:val="23"/>
        </w:rPr>
      </w:pPr>
      <w:r w:rsidRPr="00301C11">
        <w:rPr>
          <w:rFonts w:asciiTheme="minorHAnsi" w:hAnsiTheme="minorHAnsi" w:cstheme="minorHAnsi"/>
          <w:i/>
          <w:iCs/>
          <w:sz w:val="23"/>
          <w:szCs w:val="23"/>
        </w:rPr>
        <w:lastRenderedPageBreak/>
        <w:t>In fact, this treaty does not specify any exceptions to the rights therein, On the contrary, it stipulates that state authorities “shall recognize that persons with disabilities enjoy legal capacity on an equal basis with others in all aspects of life.</w:t>
      </w:r>
      <w:r w:rsidR="006F231A" w:rsidRPr="00301C11">
        <w:rPr>
          <w:rFonts w:asciiTheme="minorHAnsi" w:hAnsiTheme="minorHAnsi" w:cstheme="minorHAnsi"/>
          <w:i/>
          <w:iCs/>
          <w:sz w:val="23"/>
          <w:szCs w:val="23"/>
        </w:rPr>
        <w:t>”</w:t>
      </w:r>
    </w:p>
    <w:p w14:paraId="7FE95889" w14:textId="77777777" w:rsidR="005931D0" w:rsidRPr="00301C11" w:rsidRDefault="005931D0" w:rsidP="00E2757C">
      <w:pPr>
        <w:pStyle w:val="ListParagraph"/>
        <w:spacing w:line="240" w:lineRule="auto"/>
        <w:ind w:left="360"/>
        <w:jc w:val="both"/>
        <w:rPr>
          <w:rFonts w:asciiTheme="minorHAnsi" w:hAnsiTheme="minorHAnsi" w:cstheme="minorHAnsi"/>
          <w:i/>
          <w:iCs/>
          <w:sz w:val="23"/>
          <w:szCs w:val="23"/>
        </w:rPr>
      </w:pPr>
    </w:p>
    <w:p w14:paraId="23EA5818" w14:textId="62194E9A" w:rsidR="00E67754" w:rsidRPr="00301C11" w:rsidRDefault="72B17112" w:rsidP="00E2757C">
      <w:pPr>
        <w:pStyle w:val="ListParagraph"/>
        <w:spacing w:line="240" w:lineRule="auto"/>
        <w:ind w:left="360"/>
        <w:jc w:val="both"/>
        <w:rPr>
          <w:rFonts w:asciiTheme="minorHAnsi" w:hAnsiTheme="minorHAnsi" w:cstheme="minorHAnsi"/>
          <w:sz w:val="23"/>
          <w:szCs w:val="23"/>
        </w:rPr>
      </w:pPr>
      <w:r w:rsidRPr="00301C11">
        <w:rPr>
          <w:rFonts w:asciiTheme="minorHAnsi" w:hAnsiTheme="minorHAnsi" w:cstheme="minorHAnsi"/>
          <w:i/>
          <w:iCs/>
          <w:sz w:val="23"/>
          <w:szCs w:val="23"/>
        </w:rPr>
        <w:t xml:space="preserve">The very purpose of the Convention is to promote, protect and ensure the full and equal enjoyment of all human rights by all persons with disabilities. This leaves no room for procedures in which judges or medical practitioners would assess the voting competence of a person and the give a green light – or not. </w:t>
      </w:r>
      <w:r w:rsidRPr="00301C11">
        <w:rPr>
          <w:rFonts w:asciiTheme="minorHAnsi" w:hAnsiTheme="minorHAnsi" w:cstheme="minorHAnsi"/>
          <w:i/>
          <w:iCs/>
          <w:sz w:val="23"/>
          <w:szCs w:val="23"/>
          <w:u w:val="single"/>
        </w:rPr>
        <w:t>As we do not test that capability for someone without disabilities, this would amount to blatant discrimination.</w:t>
      </w:r>
    </w:p>
    <w:p w14:paraId="74F55EEF" w14:textId="77777777" w:rsidR="005931D0" w:rsidRPr="00301C11" w:rsidRDefault="005931D0" w:rsidP="00E2757C">
      <w:pPr>
        <w:pStyle w:val="ListParagraph"/>
        <w:spacing w:line="240" w:lineRule="auto"/>
        <w:ind w:left="360"/>
        <w:jc w:val="both"/>
        <w:rPr>
          <w:rFonts w:asciiTheme="minorHAnsi" w:hAnsiTheme="minorHAnsi" w:cstheme="minorHAnsi"/>
          <w:i/>
          <w:iCs/>
          <w:sz w:val="23"/>
          <w:szCs w:val="23"/>
        </w:rPr>
      </w:pPr>
    </w:p>
    <w:p w14:paraId="47B15200" w14:textId="1E4C6CC4" w:rsidR="00474851" w:rsidRPr="00301C11" w:rsidRDefault="72B17112" w:rsidP="00E2757C">
      <w:pPr>
        <w:pStyle w:val="ListParagraph"/>
        <w:spacing w:line="240" w:lineRule="auto"/>
        <w:ind w:left="360"/>
        <w:jc w:val="both"/>
        <w:rPr>
          <w:rFonts w:asciiTheme="minorHAnsi" w:hAnsiTheme="minorHAnsi" w:cstheme="minorHAnsi"/>
          <w:sz w:val="23"/>
          <w:szCs w:val="23"/>
        </w:rPr>
      </w:pPr>
      <w:r w:rsidRPr="00301C11">
        <w:rPr>
          <w:rFonts w:asciiTheme="minorHAnsi" w:hAnsiTheme="minorHAnsi" w:cstheme="minorHAnsi"/>
          <w:i/>
          <w:iCs/>
          <w:sz w:val="23"/>
          <w:szCs w:val="23"/>
        </w:rPr>
        <w:t>There are of course those who – because of their disability – have difficulties in fully exercising their human rights. In these situations society should offer assistance to make it possible for the individual to exercise them, including to take part in political life. The Convention places an obligation on governments to ensure that such assistance is provided if needed, including in exercising the right to vote. There is a huge difference between this approach and just depriving someone of their rights.</w:t>
      </w:r>
      <w:r w:rsidRPr="00301C11">
        <w:rPr>
          <w:rFonts w:asciiTheme="minorHAnsi" w:hAnsiTheme="minorHAnsi" w:cstheme="minorHAnsi"/>
          <w:sz w:val="23"/>
          <w:szCs w:val="23"/>
        </w:rPr>
        <w:t>”</w:t>
      </w:r>
      <w:r w:rsidR="005931D0" w:rsidRPr="00301C11">
        <w:rPr>
          <w:rStyle w:val="FootnoteReference"/>
          <w:rFonts w:asciiTheme="minorHAnsi" w:hAnsiTheme="minorHAnsi" w:cstheme="minorHAnsi"/>
          <w:sz w:val="23"/>
          <w:szCs w:val="23"/>
        </w:rPr>
        <w:footnoteReference w:id="15"/>
      </w:r>
      <w:r w:rsidRPr="00301C11">
        <w:rPr>
          <w:rFonts w:asciiTheme="minorHAnsi" w:hAnsiTheme="minorHAnsi" w:cstheme="minorHAnsi"/>
          <w:sz w:val="23"/>
          <w:szCs w:val="23"/>
        </w:rPr>
        <w:t xml:space="preserve"> (emphasis added).</w:t>
      </w:r>
    </w:p>
    <w:p w14:paraId="04214569" w14:textId="77777777" w:rsidR="000D1AC6" w:rsidRPr="00301C11" w:rsidRDefault="000D1AC6" w:rsidP="00E2757C">
      <w:pPr>
        <w:spacing w:line="240" w:lineRule="auto"/>
        <w:jc w:val="both"/>
        <w:rPr>
          <w:rFonts w:asciiTheme="minorHAnsi" w:hAnsiTheme="minorHAnsi" w:cstheme="minorHAnsi"/>
          <w:sz w:val="23"/>
          <w:szCs w:val="23"/>
        </w:rPr>
      </w:pPr>
    </w:p>
    <w:p w14:paraId="7B382496" w14:textId="77777777" w:rsidR="006E7814" w:rsidRPr="00301C11" w:rsidRDefault="006E7814" w:rsidP="00E2757C">
      <w:pPr>
        <w:pStyle w:val="ListParagraph"/>
        <w:numPr>
          <w:ilvl w:val="0"/>
          <w:numId w:val="17"/>
        </w:numPr>
        <w:spacing w:line="240" w:lineRule="auto"/>
        <w:ind w:left="0"/>
        <w:jc w:val="both"/>
        <w:rPr>
          <w:rFonts w:asciiTheme="minorHAnsi" w:hAnsiTheme="minorHAnsi" w:cstheme="minorHAnsi"/>
          <w:b/>
          <w:vanish/>
          <w:sz w:val="23"/>
          <w:szCs w:val="23"/>
        </w:rPr>
      </w:pPr>
    </w:p>
    <w:p w14:paraId="35F0490A" w14:textId="59FFC6CF" w:rsidR="00734312" w:rsidRPr="00301C11" w:rsidRDefault="72B17112" w:rsidP="00E2757C">
      <w:pPr>
        <w:pStyle w:val="ListParagraph"/>
        <w:numPr>
          <w:ilvl w:val="0"/>
          <w:numId w:val="21"/>
        </w:numPr>
        <w:spacing w:line="240" w:lineRule="auto"/>
        <w:ind w:left="360" w:hanging="360"/>
        <w:jc w:val="both"/>
        <w:rPr>
          <w:rFonts w:asciiTheme="minorHAnsi" w:hAnsiTheme="minorHAnsi" w:cstheme="minorHAnsi"/>
          <w:b/>
          <w:bCs/>
          <w:sz w:val="23"/>
          <w:szCs w:val="23"/>
          <w:u w:val="single"/>
        </w:rPr>
      </w:pPr>
      <w:r w:rsidRPr="00301C11">
        <w:rPr>
          <w:rFonts w:asciiTheme="minorHAnsi" w:hAnsiTheme="minorHAnsi" w:cstheme="minorHAnsi"/>
          <w:b/>
          <w:bCs/>
          <w:sz w:val="23"/>
          <w:szCs w:val="23"/>
          <w:u w:val="single"/>
        </w:rPr>
        <w:t>United Nations standards</w:t>
      </w:r>
    </w:p>
    <w:p w14:paraId="524C78C0" w14:textId="77777777" w:rsidR="00734312" w:rsidRPr="00301C11" w:rsidRDefault="00734312" w:rsidP="00E2757C">
      <w:pPr>
        <w:pStyle w:val="ListParagraph"/>
        <w:spacing w:line="240" w:lineRule="auto"/>
        <w:ind w:left="360" w:hanging="360"/>
        <w:jc w:val="both"/>
        <w:rPr>
          <w:rFonts w:asciiTheme="minorHAnsi" w:hAnsiTheme="minorHAnsi" w:cstheme="minorHAnsi"/>
          <w:sz w:val="23"/>
          <w:szCs w:val="23"/>
        </w:rPr>
      </w:pPr>
    </w:p>
    <w:p w14:paraId="09A998A9" w14:textId="3C1953CD" w:rsidR="0051557B" w:rsidRPr="00301C11" w:rsidRDefault="72B17112" w:rsidP="00E2757C">
      <w:pPr>
        <w:pStyle w:val="ListParagraph"/>
        <w:numPr>
          <w:ilvl w:val="0"/>
          <w:numId w:val="1"/>
        </w:numPr>
        <w:spacing w:before="240" w:after="240" w:line="240" w:lineRule="auto"/>
        <w:ind w:left="360"/>
        <w:jc w:val="both"/>
        <w:rPr>
          <w:rStyle w:val="sb8d990e2"/>
          <w:rFonts w:asciiTheme="minorHAnsi" w:hAnsiTheme="minorHAnsi" w:cstheme="minorHAnsi"/>
          <w:sz w:val="23"/>
          <w:szCs w:val="23"/>
        </w:rPr>
      </w:pPr>
      <w:r w:rsidRPr="00301C11">
        <w:rPr>
          <w:rStyle w:val="sb8d990e2"/>
          <w:rFonts w:asciiTheme="minorHAnsi" w:hAnsiTheme="minorHAnsi" w:cstheme="minorHAnsi"/>
          <w:sz w:val="23"/>
          <w:szCs w:val="23"/>
        </w:rPr>
        <w:t xml:space="preserve">The CRPD was adopted unanimously by the UN General Assembly on 13 December 2006. At the time of submitting this third-party intervention, it has been ratified by 175 States. The European Union and all </w:t>
      </w:r>
      <w:r w:rsidR="005931D0" w:rsidRPr="00301C11">
        <w:rPr>
          <w:rStyle w:val="sb8d990e2"/>
          <w:rFonts w:asciiTheme="minorHAnsi" w:hAnsiTheme="minorHAnsi" w:cstheme="minorHAnsi"/>
          <w:sz w:val="23"/>
          <w:szCs w:val="23"/>
        </w:rPr>
        <w:t xml:space="preserve">its </w:t>
      </w:r>
      <w:r w:rsidRPr="00301C11">
        <w:rPr>
          <w:rStyle w:val="sb8d990e2"/>
          <w:rFonts w:asciiTheme="minorHAnsi" w:hAnsiTheme="minorHAnsi" w:cstheme="minorHAnsi"/>
          <w:sz w:val="23"/>
          <w:szCs w:val="23"/>
        </w:rPr>
        <w:t>Member States have signed or ratified the CRPD and 45 out of 47 Member States of the Council of Europe have ratified the treaty (all save for Ireland and Lichtenstein). Bulgaria ratified the CRPD in 2012. This signals a clear Europe-wide consensus on the provisions therein and a political will to be bound by the jurisprudence of the expert body charged with issuing authoritative interpretations of the CRPD, the CRPD Committee.</w:t>
      </w:r>
    </w:p>
    <w:p w14:paraId="761CA599" w14:textId="77777777" w:rsidR="00DF53FF" w:rsidRPr="00301C11" w:rsidRDefault="00DF53FF" w:rsidP="006F231A">
      <w:pPr>
        <w:pStyle w:val="ListParagraph"/>
        <w:spacing w:before="100" w:beforeAutospacing="1" w:line="240" w:lineRule="auto"/>
        <w:ind w:left="360" w:hanging="360"/>
        <w:jc w:val="both"/>
        <w:rPr>
          <w:rStyle w:val="sb8d990e2"/>
          <w:rFonts w:asciiTheme="minorHAnsi" w:hAnsiTheme="minorHAnsi" w:cstheme="minorHAnsi"/>
          <w:sz w:val="23"/>
          <w:szCs w:val="23"/>
        </w:rPr>
      </w:pPr>
    </w:p>
    <w:p w14:paraId="4D2DBDCA" w14:textId="1E12029A" w:rsidR="00734312" w:rsidRPr="00301C11" w:rsidRDefault="0051557B" w:rsidP="00E2757C">
      <w:pPr>
        <w:pStyle w:val="ListParagraph"/>
        <w:numPr>
          <w:ilvl w:val="0"/>
          <w:numId w:val="1"/>
        </w:numPr>
        <w:spacing w:line="240" w:lineRule="auto"/>
        <w:ind w:left="360"/>
        <w:jc w:val="both"/>
        <w:rPr>
          <w:rStyle w:val="sb8d990e2"/>
          <w:rFonts w:asciiTheme="minorHAnsi" w:hAnsiTheme="minorHAnsi" w:cstheme="minorHAnsi"/>
          <w:sz w:val="23"/>
          <w:szCs w:val="23"/>
        </w:rPr>
      </w:pPr>
      <w:r w:rsidRPr="00301C11">
        <w:rPr>
          <w:rFonts w:asciiTheme="minorHAnsi" w:hAnsiTheme="minorHAnsi" w:cstheme="minorHAnsi"/>
          <w:sz w:val="23"/>
          <w:szCs w:val="23"/>
          <w:lang w:val="en-US"/>
        </w:rPr>
        <w:t>In the disability context, the key and most recent standards of international law are those set out in the CPRD.</w:t>
      </w:r>
      <w:r w:rsidRPr="00301C11">
        <w:rPr>
          <w:rFonts w:asciiTheme="minorHAnsi" w:hAnsiTheme="minorHAnsi" w:cstheme="minorHAnsi"/>
          <w:sz w:val="23"/>
          <w:szCs w:val="23"/>
          <w:vertAlign w:val="superscript"/>
          <w:lang w:val="en-US"/>
        </w:rPr>
        <w:footnoteReference w:id="16"/>
      </w:r>
      <w:r w:rsidRPr="00301C11">
        <w:rPr>
          <w:rFonts w:asciiTheme="minorHAnsi" w:hAnsiTheme="minorHAnsi" w:cstheme="minorHAnsi"/>
          <w:sz w:val="23"/>
          <w:szCs w:val="23"/>
          <w:lang w:val="en-US"/>
        </w:rPr>
        <w:t xml:space="preserve"> As the UN Special Rapporteur on Disability </w:t>
      </w:r>
      <w:r w:rsidR="00923870" w:rsidRPr="00301C11">
        <w:rPr>
          <w:rFonts w:asciiTheme="minorHAnsi" w:hAnsiTheme="minorHAnsi" w:cstheme="minorHAnsi"/>
          <w:sz w:val="23"/>
          <w:szCs w:val="23"/>
          <w:lang w:val="en-US"/>
        </w:rPr>
        <w:t>has put it</w:t>
      </w:r>
      <w:r w:rsidR="004C7E41" w:rsidRPr="00301C11">
        <w:rPr>
          <w:rFonts w:asciiTheme="minorHAnsi" w:hAnsiTheme="minorHAnsi" w:cstheme="minorHAnsi"/>
          <w:sz w:val="23"/>
          <w:szCs w:val="23"/>
          <w:lang w:val="en-US"/>
        </w:rPr>
        <w:t>,</w:t>
      </w:r>
      <w:r w:rsidR="00923870" w:rsidRPr="00301C11">
        <w:rPr>
          <w:rFonts w:asciiTheme="minorHAnsi" w:hAnsiTheme="minorHAnsi" w:cstheme="minorHAnsi"/>
          <w:sz w:val="23"/>
          <w:szCs w:val="23"/>
          <w:lang w:val="en-US"/>
        </w:rPr>
        <w:t xml:space="preserve"> the CRPD provides</w:t>
      </w:r>
      <w:r w:rsidR="00B129B0" w:rsidRPr="00301C11">
        <w:rPr>
          <w:rFonts w:asciiTheme="minorHAnsi" w:hAnsiTheme="minorHAnsi" w:cstheme="minorHAnsi"/>
          <w:i/>
          <w:iCs/>
          <w:sz w:val="23"/>
          <w:szCs w:val="23"/>
          <w:lang w:val="en-US"/>
        </w:rPr>
        <w:t xml:space="preserve"> “authoritative</w:t>
      </w:r>
      <w:r w:rsidRPr="00301C11">
        <w:rPr>
          <w:rFonts w:asciiTheme="minorHAnsi" w:hAnsiTheme="minorHAnsi" w:cstheme="minorHAnsi"/>
          <w:i/>
          <w:iCs/>
          <w:sz w:val="23"/>
          <w:szCs w:val="23"/>
          <w:lang w:val="en-US"/>
        </w:rPr>
        <w:t xml:space="preserve"> guidance on the rights of persons with disabilities supplementing the Covenant and other core human rights treaties.</w:t>
      </w:r>
      <w:r w:rsidR="00923870" w:rsidRPr="00301C11">
        <w:rPr>
          <w:rFonts w:asciiTheme="minorHAnsi" w:hAnsiTheme="minorHAnsi" w:cstheme="minorHAnsi"/>
          <w:i/>
          <w:iCs/>
          <w:sz w:val="23"/>
          <w:szCs w:val="23"/>
          <w:lang w:val="en-US"/>
        </w:rPr>
        <w:t>”</w:t>
      </w:r>
      <w:r w:rsidRPr="00301C11">
        <w:rPr>
          <w:rFonts w:asciiTheme="minorHAnsi" w:hAnsiTheme="minorHAnsi" w:cstheme="minorHAnsi"/>
          <w:i/>
          <w:iCs/>
          <w:sz w:val="23"/>
          <w:szCs w:val="23"/>
          <w:vertAlign w:val="superscript"/>
          <w:lang w:val="en-US"/>
        </w:rPr>
        <w:footnoteReference w:id="17"/>
      </w:r>
      <w:r w:rsidR="00144DD0" w:rsidRPr="00301C11">
        <w:rPr>
          <w:rFonts w:asciiTheme="minorHAnsi" w:hAnsiTheme="minorHAnsi" w:cstheme="minorHAnsi"/>
          <w:i/>
          <w:iCs/>
          <w:sz w:val="23"/>
          <w:szCs w:val="23"/>
          <w:lang w:val="en-US"/>
        </w:rPr>
        <w:t xml:space="preserve"> </w:t>
      </w:r>
      <w:r w:rsidR="00923870" w:rsidRPr="00301C11">
        <w:rPr>
          <w:rFonts w:asciiTheme="minorHAnsi" w:hAnsiTheme="minorHAnsi" w:cstheme="minorHAnsi"/>
          <w:sz w:val="23"/>
          <w:szCs w:val="23"/>
          <w:lang w:val="en-US"/>
        </w:rPr>
        <w:t xml:space="preserve">The CRPD has been </w:t>
      </w:r>
      <w:r w:rsidR="004C7E41" w:rsidRPr="00301C11">
        <w:rPr>
          <w:rFonts w:asciiTheme="minorHAnsi" w:hAnsiTheme="minorHAnsi" w:cstheme="minorHAnsi"/>
          <w:sz w:val="23"/>
          <w:szCs w:val="23"/>
          <w:lang w:val="en-US"/>
        </w:rPr>
        <w:t xml:space="preserve">used by the Court to guide its interpretation of ECHR </w:t>
      </w:r>
      <w:r w:rsidR="00923870" w:rsidRPr="00301C11">
        <w:rPr>
          <w:rFonts w:asciiTheme="minorHAnsi" w:hAnsiTheme="minorHAnsi" w:cstheme="minorHAnsi"/>
          <w:sz w:val="23"/>
          <w:szCs w:val="23"/>
          <w:lang w:val="en-US"/>
        </w:rPr>
        <w:t>provisions and the scope of States’ obligations in specific cases. In</w:t>
      </w:r>
      <w:r w:rsidR="00734312" w:rsidRPr="00301C11">
        <w:rPr>
          <w:rStyle w:val="sb8d990e2"/>
          <w:rFonts w:asciiTheme="minorHAnsi" w:hAnsiTheme="minorHAnsi" w:cstheme="minorHAnsi"/>
          <w:sz w:val="23"/>
          <w:szCs w:val="23"/>
        </w:rPr>
        <w:t xml:space="preserve"> </w:t>
      </w:r>
      <w:proofErr w:type="spellStart"/>
      <w:r w:rsidR="00734312" w:rsidRPr="00301C11">
        <w:rPr>
          <w:rStyle w:val="sb8d990e2"/>
          <w:rFonts w:asciiTheme="minorHAnsi" w:hAnsiTheme="minorHAnsi" w:cstheme="minorHAnsi"/>
          <w:i/>
          <w:iCs/>
          <w:sz w:val="23"/>
          <w:szCs w:val="23"/>
        </w:rPr>
        <w:t>Glor</w:t>
      </w:r>
      <w:proofErr w:type="spellEnd"/>
      <w:r w:rsidR="00734312" w:rsidRPr="00301C11">
        <w:rPr>
          <w:rStyle w:val="sb8d990e2"/>
          <w:rFonts w:asciiTheme="minorHAnsi" w:hAnsiTheme="minorHAnsi" w:cstheme="minorHAnsi"/>
          <w:i/>
          <w:iCs/>
          <w:sz w:val="23"/>
          <w:szCs w:val="23"/>
        </w:rPr>
        <w:t xml:space="preserve"> v</w:t>
      </w:r>
      <w:r w:rsidR="00612EB5" w:rsidRPr="00301C11">
        <w:rPr>
          <w:rStyle w:val="sb8d990e2"/>
          <w:rFonts w:asciiTheme="minorHAnsi" w:hAnsiTheme="minorHAnsi" w:cstheme="minorHAnsi"/>
          <w:i/>
          <w:iCs/>
          <w:sz w:val="23"/>
          <w:szCs w:val="23"/>
        </w:rPr>
        <w:t>.</w:t>
      </w:r>
      <w:r w:rsidR="00734312" w:rsidRPr="00301C11">
        <w:rPr>
          <w:rStyle w:val="sb8d990e2"/>
          <w:rFonts w:asciiTheme="minorHAnsi" w:hAnsiTheme="minorHAnsi" w:cstheme="minorHAnsi"/>
          <w:i/>
          <w:iCs/>
          <w:sz w:val="23"/>
          <w:szCs w:val="23"/>
        </w:rPr>
        <w:t xml:space="preserve"> Switzerland</w:t>
      </w:r>
      <w:r w:rsidR="00734312" w:rsidRPr="00301C11">
        <w:rPr>
          <w:rStyle w:val="sb8d990e2"/>
          <w:rFonts w:asciiTheme="minorHAnsi" w:hAnsiTheme="minorHAnsi" w:cstheme="minorHAnsi"/>
          <w:sz w:val="23"/>
          <w:szCs w:val="23"/>
        </w:rPr>
        <w:t>, the Court confirmed that it “</w:t>
      </w:r>
      <w:r w:rsidR="00734312" w:rsidRPr="00301C11">
        <w:rPr>
          <w:rStyle w:val="sb8d990e2"/>
          <w:rFonts w:asciiTheme="minorHAnsi" w:hAnsiTheme="minorHAnsi" w:cstheme="minorHAnsi"/>
          <w:i/>
          <w:iCs/>
          <w:sz w:val="23"/>
          <w:szCs w:val="23"/>
        </w:rPr>
        <w:t>considers that there is European and universal consensus on the necessity to protect persons suffering from disability from discriminatory treatment</w:t>
      </w:r>
      <w:r w:rsidR="00734312" w:rsidRPr="00301C11">
        <w:rPr>
          <w:rStyle w:val="sb8d990e2"/>
          <w:rFonts w:asciiTheme="minorHAnsi" w:hAnsiTheme="minorHAnsi" w:cstheme="minorHAnsi"/>
          <w:sz w:val="23"/>
          <w:szCs w:val="23"/>
        </w:rPr>
        <w:t>”,</w:t>
      </w:r>
      <w:r w:rsidR="00923870" w:rsidRPr="00301C11">
        <w:rPr>
          <w:rStyle w:val="FootnoteReference"/>
          <w:rFonts w:asciiTheme="minorHAnsi" w:hAnsiTheme="minorHAnsi" w:cstheme="minorHAnsi"/>
          <w:sz w:val="23"/>
          <w:szCs w:val="23"/>
        </w:rPr>
        <w:footnoteReference w:id="18"/>
      </w:r>
      <w:r w:rsidR="00734312" w:rsidRPr="00301C11">
        <w:rPr>
          <w:rStyle w:val="sb8d990e2"/>
          <w:rFonts w:asciiTheme="minorHAnsi" w:hAnsiTheme="minorHAnsi" w:cstheme="minorHAnsi"/>
          <w:sz w:val="23"/>
          <w:szCs w:val="23"/>
        </w:rPr>
        <w:t xml:space="preserve"> and cited the CRPD</w:t>
      </w:r>
      <w:r w:rsidR="00923870" w:rsidRPr="00301C11">
        <w:rPr>
          <w:rStyle w:val="sb8d990e2"/>
          <w:rFonts w:asciiTheme="minorHAnsi" w:hAnsiTheme="minorHAnsi" w:cstheme="minorHAnsi"/>
          <w:sz w:val="23"/>
          <w:szCs w:val="23"/>
        </w:rPr>
        <w:t xml:space="preserve"> for the first time</w:t>
      </w:r>
      <w:r w:rsidR="00734312" w:rsidRPr="00301C11">
        <w:rPr>
          <w:rStyle w:val="sb8d990e2"/>
          <w:rFonts w:asciiTheme="minorHAnsi" w:hAnsiTheme="minorHAnsi" w:cstheme="minorHAnsi"/>
          <w:sz w:val="23"/>
          <w:szCs w:val="23"/>
        </w:rPr>
        <w:t>.</w:t>
      </w:r>
      <w:r w:rsidR="00923870" w:rsidRPr="00301C11">
        <w:rPr>
          <w:rStyle w:val="sb8d990e2"/>
          <w:rFonts w:asciiTheme="minorHAnsi" w:hAnsiTheme="minorHAnsi" w:cstheme="minorHAnsi"/>
          <w:sz w:val="23"/>
          <w:szCs w:val="23"/>
        </w:rPr>
        <w:t xml:space="preserve"> </w:t>
      </w:r>
      <w:r w:rsidR="00734312" w:rsidRPr="00301C11">
        <w:rPr>
          <w:rStyle w:val="sb8d990e2"/>
          <w:rFonts w:asciiTheme="minorHAnsi" w:hAnsiTheme="minorHAnsi" w:cstheme="minorHAnsi"/>
          <w:sz w:val="23"/>
          <w:szCs w:val="23"/>
        </w:rPr>
        <w:t xml:space="preserve">Since then the Court has cited and relied upon the CRPD in many cases, a recent example being </w:t>
      </w:r>
      <w:r w:rsidR="00734312" w:rsidRPr="00301C11">
        <w:rPr>
          <w:rStyle w:val="sb8d990e2"/>
          <w:rFonts w:asciiTheme="minorHAnsi" w:hAnsiTheme="minorHAnsi" w:cstheme="minorHAnsi"/>
          <w:i/>
          <w:iCs/>
          <w:sz w:val="23"/>
          <w:szCs w:val="23"/>
        </w:rPr>
        <w:t>AN v Lithuania</w:t>
      </w:r>
      <w:r w:rsidR="00000C8B" w:rsidRPr="00301C11">
        <w:rPr>
          <w:rStyle w:val="sb8d990e2"/>
          <w:rFonts w:asciiTheme="minorHAnsi" w:hAnsiTheme="minorHAnsi" w:cstheme="minorHAnsi"/>
          <w:i/>
          <w:iCs/>
          <w:sz w:val="23"/>
          <w:szCs w:val="23"/>
        </w:rPr>
        <w:t>.</w:t>
      </w:r>
      <w:r w:rsidR="00000C8B" w:rsidRPr="00301C11">
        <w:rPr>
          <w:rStyle w:val="FootnoteReference"/>
          <w:rFonts w:asciiTheme="minorHAnsi" w:hAnsiTheme="minorHAnsi" w:cstheme="minorHAnsi"/>
          <w:i/>
          <w:iCs/>
          <w:sz w:val="23"/>
          <w:szCs w:val="23"/>
        </w:rPr>
        <w:footnoteReference w:id="19"/>
      </w:r>
    </w:p>
    <w:p w14:paraId="147E250B" w14:textId="77777777" w:rsidR="00DF53FF" w:rsidRPr="00301C11" w:rsidRDefault="00DF53FF" w:rsidP="00E2757C">
      <w:pPr>
        <w:spacing w:line="240" w:lineRule="auto"/>
        <w:ind w:left="360" w:hanging="360"/>
        <w:jc w:val="both"/>
        <w:rPr>
          <w:rFonts w:asciiTheme="minorHAnsi" w:hAnsiTheme="minorHAnsi" w:cstheme="minorHAnsi"/>
          <w:sz w:val="23"/>
          <w:szCs w:val="23"/>
        </w:rPr>
      </w:pPr>
    </w:p>
    <w:p w14:paraId="0E0DBC79" w14:textId="4A60B3BE" w:rsidR="001948D4" w:rsidRPr="00301C11" w:rsidRDefault="72B17112" w:rsidP="005931D0">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rPr>
        <w:t>Article 12 of the CRPD</w:t>
      </w:r>
      <w:r w:rsidR="005931D0" w:rsidRPr="00301C11">
        <w:rPr>
          <w:rFonts w:asciiTheme="minorHAnsi" w:hAnsiTheme="minorHAnsi" w:cstheme="minorHAnsi"/>
          <w:sz w:val="23"/>
          <w:szCs w:val="23"/>
        </w:rPr>
        <w:t xml:space="preserve"> safeguards the right to legal capacity of people with disabilities and the right to supports to exercise that legal capacity.</w:t>
      </w:r>
      <w:r w:rsidRPr="00301C11">
        <w:rPr>
          <w:rFonts w:asciiTheme="minorHAnsi" w:hAnsiTheme="minorHAnsi" w:cstheme="minorHAnsi"/>
          <w:sz w:val="23"/>
          <w:szCs w:val="23"/>
        </w:rPr>
        <w:t xml:space="preserve"> </w:t>
      </w:r>
      <w:r w:rsidRPr="00301C11">
        <w:rPr>
          <w:rStyle w:val="sb8d990e2"/>
          <w:rFonts w:asciiTheme="minorHAnsi" w:hAnsiTheme="minorHAnsi" w:cstheme="minorHAnsi"/>
          <w:sz w:val="23"/>
          <w:szCs w:val="23"/>
        </w:rPr>
        <w:t>Article 29 unambiguously sets out the right of people with disabilities to vote and stand for elections</w:t>
      </w:r>
      <w:r w:rsidR="005931D0" w:rsidRPr="00301C11">
        <w:rPr>
          <w:rStyle w:val="sb8d990e2"/>
          <w:rFonts w:asciiTheme="minorHAnsi" w:hAnsiTheme="minorHAnsi" w:cstheme="minorHAnsi"/>
          <w:sz w:val="23"/>
          <w:szCs w:val="23"/>
        </w:rPr>
        <w:t xml:space="preserve"> on an equal basis with others</w:t>
      </w:r>
      <w:r w:rsidRPr="00301C11">
        <w:rPr>
          <w:rStyle w:val="sb8d990e2"/>
          <w:rFonts w:asciiTheme="minorHAnsi" w:hAnsiTheme="minorHAnsi" w:cstheme="minorHAnsi"/>
          <w:sz w:val="23"/>
          <w:szCs w:val="23"/>
        </w:rPr>
        <w:t xml:space="preserve">. </w:t>
      </w:r>
      <w:r w:rsidR="46C4C9A0" w:rsidRPr="00301C11">
        <w:rPr>
          <w:rFonts w:asciiTheme="minorHAnsi" w:hAnsiTheme="minorHAnsi" w:cstheme="minorHAnsi"/>
          <w:sz w:val="23"/>
          <w:szCs w:val="23"/>
        </w:rPr>
        <w:t xml:space="preserve">The requirements of Article 29 are supported by the general </w:t>
      </w:r>
      <w:r w:rsidR="005931D0" w:rsidRPr="00301C11">
        <w:rPr>
          <w:rFonts w:asciiTheme="minorHAnsi" w:hAnsiTheme="minorHAnsi" w:cstheme="minorHAnsi"/>
          <w:sz w:val="23"/>
          <w:szCs w:val="23"/>
        </w:rPr>
        <w:t xml:space="preserve">CRPD </w:t>
      </w:r>
      <w:r w:rsidR="46C4C9A0" w:rsidRPr="00301C11">
        <w:rPr>
          <w:rFonts w:asciiTheme="minorHAnsi" w:hAnsiTheme="minorHAnsi" w:cstheme="minorHAnsi"/>
          <w:sz w:val="23"/>
          <w:szCs w:val="23"/>
        </w:rPr>
        <w:t>principles of equality and non-discrimination, full and effective participation and inclusion in society</w:t>
      </w:r>
      <w:r w:rsidR="005931D0" w:rsidRPr="00301C11">
        <w:rPr>
          <w:rFonts w:asciiTheme="minorHAnsi" w:hAnsiTheme="minorHAnsi" w:cstheme="minorHAnsi"/>
          <w:sz w:val="23"/>
          <w:szCs w:val="23"/>
        </w:rPr>
        <w:t>,</w:t>
      </w:r>
      <w:r w:rsidR="46C4C9A0" w:rsidRPr="00301C11">
        <w:rPr>
          <w:rFonts w:asciiTheme="minorHAnsi" w:hAnsiTheme="minorHAnsi" w:cstheme="minorHAnsi"/>
          <w:sz w:val="23"/>
          <w:szCs w:val="23"/>
        </w:rPr>
        <w:t xml:space="preserve"> and accessibility. Article 5 provides that all persons are entitled without any discrimination to equal benefit of the law and that </w:t>
      </w:r>
      <w:r w:rsidR="004C7E41" w:rsidRPr="00301C11">
        <w:rPr>
          <w:rFonts w:asciiTheme="minorHAnsi" w:hAnsiTheme="minorHAnsi" w:cstheme="minorHAnsi"/>
          <w:sz w:val="23"/>
          <w:szCs w:val="23"/>
        </w:rPr>
        <w:t>S</w:t>
      </w:r>
      <w:r w:rsidR="46C4C9A0" w:rsidRPr="00301C11">
        <w:rPr>
          <w:rFonts w:asciiTheme="minorHAnsi" w:hAnsiTheme="minorHAnsi" w:cstheme="minorHAnsi"/>
          <w:sz w:val="23"/>
          <w:szCs w:val="23"/>
        </w:rPr>
        <w:t xml:space="preserve">tate parties shall prohibit all </w:t>
      </w:r>
      <w:r w:rsidR="46C4C9A0" w:rsidRPr="00301C11">
        <w:rPr>
          <w:rFonts w:asciiTheme="minorHAnsi" w:hAnsiTheme="minorHAnsi" w:cstheme="minorHAnsi"/>
          <w:sz w:val="23"/>
          <w:szCs w:val="23"/>
        </w:rPr>
        <w:lastRenderedPageBreak/>
        <w:t>discrimination on the basis of disability, and guarantee to persons with disabilities equal and effective legal protection against discrimination on all grounds.</w:t>
      </w:r>
      <w:r w:rsidR="004C7E41" w:rsidRPr="00301C11">
        <w:rPr>
          <w:rFonts w:asciiTheme="minorHAnsi" w:hAnsiTheme="minorHAnsi" w:cstheme="minorHAnsi"/>
          <w:sz w:val="23"/>
          <w:szCs w:val="23"/>
        </w:rPr>
        <w:t xml:space="preserve"> </w:t>
      </w:r>
      <w:r w:rsidR="005931D0" w:rsidRPr="00301C11">
        <w:rPr>
          <w:rFonts w:asciiTheme="minorHAnsi" w:hAnsiTheme="minorHAnsi" w:cstheme="minorHAnsi"/>
          <w:sz w:val="23"/>
          <w:szCs w:val="23"/>
        </w:rPr>
        <w:t>The CRPD places an obligation on States to ensure political participation in all stages of the policy cycle: agenda setting, planning, service delivery, and monitoring and evaluation.</w:t>
      </w:r>
      <w:r w:rsidR="005931D0" w:rsidRPr="00301C11">
        <w:rPr>
          <w:rStyle w:val="FootnoteReference"/>
          <w:rFonts w:asciiTheme="minorHAnsi" w:hAnsiTheme="minorHAnsi" w:cstheme="minorHAnsi"/>
          <w:sz w:val="23"/>
          <w:szCs w:val="23"/>
        </w:rPr>
        <w:footnoteReference w:id="20"/>
      </w:r>
    </w:p>
    <w:p w14:paraId="2C51EEF0" w14:textId="77777777" w:rsidR="00734312" w:rsidRPr="00301C11" w:rsidRDefault="00734312" w:rsidP="00E2757C">
      <w:pPr>
        <w:pStyle w:val="ListParagraph"/>
        <w:spacing w:line="240" w:lineRule="auto"/>
        <w:ind w:left="360" w:hanging="360"/>
        <w:jc w:val="both"/>
        <w:rPr>
          <w:rFonts w:asciiTheme="minorHAnsi" w:hAnsiTheme="minorHAnsi" w:cstheme="minorHAnsi"/>
          <w:sz w:val="23"/>
          <w:szCs w:val="23"/>
        </w:rPr>
      </w:pPr>
    </w:p>
    <w:p w14:paraId="71B4C8E6" w14:textId="5F140724" w:rsidR="00DD55A3" w:rsidRPr="00301C11" w:rsidRDefault="00A34E65" w:rsidP="00E2757C">
      <w:pPr>
        <w:pStyle w:val="ListParagraph"/>
        <w:numPr>
          <w:ilvl w:val="0"/>
          <w:numId w:val="1"/>
        </w:numPr>
        <w:spacing w:line="240" w:lineRule="auto"/>
        <w:ind w:left="360"/>
        <w:jc w:val="both"/>
        <w:rPr>
          <w:rFonts w:asciiTheme="minorHAnsi" w:hAnsiTheme="minorHAnsi" w:cstheme="minorHAnsi"/>
          <w:sz w:val="23"/>
          <w:szCs w:val="23"/>
          <w:lang w:val="en-US"/>
        </w:rPr>
      </w:pPr>
      <w:r w:rsidRPr="00301C11">
        <w:rPr>
          <w:rFonts w:asciiTheme="minorHAnsi" w:hAnsiTheme="minorHAnsi" w:cstheme="minorHAnsi"/>
          <w:sz w:val="23"/>
          <w:szCs w:val="23"/>
        </w:rPr>
        <w:t xml:space="preserve">It is clear under the CRPD that </w:t>
      </w:r>
      <w:r w:rsidRPr="00301C11">
        <w:rPr>
          <w:rFonts w:asciiTheme="minorHAnsi" w:hAnsiTheme="minorHAnsi" w:cstheme="minorHAnsi"/>
          <w:i/>
          <w:iCs/>
          <w:sz w:val="23"/>
          <w:szCs w:val="23"/>
          <w:u w:val="single"/>
        </w:rPr>
        <w:t>all</w:t>
      </w:r>
      <w:r w:rsidRPr="00301C11">
        <w:rPr>
          <w:rFonts w:asciiTheme="minorHAnsi" w:hAnsiTheme="minorHAnsi" w:cstheme="minorHAnsi"/>
          <w:sz w:val="23"/>
          <w:szCs w:val="23"/>
        </w:rPr>
        <w:t xml:space="preserve"> people with disabilities – including people with severe intellectual and/or psycho-social disabilities </w:t>
      </w:r>
      <w:r w:rsidR="006045B0" w:rsidRPr="00301C11">
        <w:rPr>
          <w:rFonts w:asciiTheme="minorHAnsi" w:hAnsiTheme="minorHAnsi" w:cstheme="minorHAnsi"/>
          <w:sz w:val="23"/>
          <w:szCs w:val="23"/>
        </w:rPr>
        <w:t xml:space="preserve">– have the right to vote and stand for election. The CRPD – similar to </w:t>
      </w:r>
      <w:r w:rsidR="0013119D" w:rsidRPr="00301C11">
        <w:rPr>
          <w:rFonts w:asciiTheme="minorHAnsi" w:hAnsiTheme="minorHAnsi" w:cstheme="minorHAnsi"/>
          <w:sz w:val="23"/>
          <w:szCs w:val="23"/>
        </w:rPr>
        <w:t xml:space="preserve">the </w:t>
      </w:r>
      <w:r w:rsidR="006045B0" w:rsidRPr="00301C11">
        <w:rPr>
          <w:rFonts w:asciiTheme="minorHAnsi" w:hAnsiTheme="minorHAnsi" w:cstheme="minorHAnsi"/>
          <w:sz w:val="23"/>
          <w:szCs w:val="23"/>
        </w:rPr>
        <w:t xml:space="preserve">Council of Europe instruments mentioned above – leaves no room </w:t>
      </w:r>
      <w:r w:rsidR="006045B0" w:rsidRPr="00301C11">
        <w:rPr>
          <w:rFonts w:asciiTheme="minorHAnsi" w:hAnsiTheme="minorHAnsi" w:cstheme="minorHAnsi"/>
          <w:sz w:val="23"/>
          <w:szCs w:val="23"/>
          <w:lang w:val="en-US"/>
        </w:rPr>
        <w:t>for any court or other procedure in which someone’s voting competence can be tested and removed on the basis of incapability to vote due to an actual or perceived disability.</w:t>
      </w:r>
      <w:r w:rsidR="00240854" w:rsidRPr="00301C11">
        <w:rPr>
          <w:rFonts w:asciiTheme="minorHAnsi" w:hAnsiTheme="minorHAnsi" w:cstheme="minorHAnsi"/>
          <w:sz w:val="23"/>
          <w:szCs w:val="23"/>
          <w:lang w:val="en-US"/>
        </w:rPr>
        <w:t xml:space="preserve"> </w:t>
      </w:r>
      <w:r w:rsidR="00734312" w:rsidRPr="00301C11">
        <w:rPr>
          <w:rFonts w:asciiTheme="minorHAnsi" w:hAnsiTheme="minorHAnsi" w:cstheme="minorHAnsi"/>
          <w:sz w:val="23"/>
          <w:szCs w:val="23"/>
        </w:rPr>
        <w:t>Referring to Articles 12 and 29</w:t>
      </w:r>
      <w:r w:rsidRPr="00301C11">
        <w:rPr>
          <w:rFonts w:asciiTheme="minorHAnsi" w:hAnsiTheme="minorHAnsi" w:cstheme="minorHAnsi"/>
          <w:sz w:val="23"/>
          <w:szCs w:val="23"/>
        </w:rPr>
        <w:t xml:space="preserve"> of the CRPD</w:t>
      </w:r>
      <w:r w:rsidR="00734312" w:rsidRPr="00301C11">
        <w:rPr>
          <w:rFonts w:asciiTheme="minorHAnsi" w:hAnsiTheme="minorHAnsi" w:cstheme="minorHAnsi"/>
          <w:sz w:val="23"/>
          <w:szCs w:val="23"/>
        </w:rPr>
        <w:t xml:space="preserve">, the </w:t>
      </w:r>
      <w:r w:rsidRPr="00301C11">
        <w:rPr>
          <w:rFonts w:asciiTheme="minorHAnsi" w:hAnsiTheme="minorHAnsi" w:cstheme="minorHAnsi"/>
          <w:sz w:val="23"/>
          <w:szCs w:val="23"/>
        </w:rPr>
        <w:t xml:space="preserve">CRPD Committee </w:t>
      </w:r>
      <w:r w:rsidR="00240854" w:rsidRPr="00301C11">
        <w:rPr>
          <w:rFonts w:asciiTheme="minorHAnsi" w:hAnsiTheme="minorHAnsi" w:cstheme="minorHAnsi"/>
          <w:sz w:val="23"/>
          <w:szCs w:val="23"/>
        </w:rPr>
        <w:t xml:space="preserve">emphasised that </w:t>
      </w:r>
      <w:r w:rsidR="00734312" w:rsidRPr="00301C11">
        <w:rPr>
          <w:rFonts w:asciiTheme="minorHAnsi" w:hAnsiTheme="minorHAnsi" w:cstheme="minorHAnsi"/>
          <w:sz w:val="23"/>
          <w:szCs w:val="23"/>
        </w:rPr>
        <w:t>“</w:t>
      </w:r>
      <w:r w:rsidR="00734312" w:rsidRPr="00301C11">
        <w:rPr>
          <w:rFonts w:asciiTheme="minorHAnsi" w:hAnsiTheme="minorHAnsi" w:cstheme="minorHAnsi"/>
          <w:i/>
          <w:iCs/>
          <w:sz w:val="23"/>
          <w:szCs w:val="23"/>
        </w:rPr>
        <w:t>a person’s decision-making ability cannot be a justification for any exclusion of persons with disabilities from exercising their political rights</w:t>
      </w:r>
      <w:r w:rsidR="00240854" w:rsidRPr="00301C11">
        <w:rPr>
          <w:rFonts w:asciiTheme="minorHAnsi" w:hAnsiTheme="minorHAnsi" w:cstheme="minorHAnsi"/>
          <w:i/>
          <w:iCs/>
          <w:sz w:val="23"/>
          <w:szCs w:val="23"/>
        </w:rPr>
        <w:t>.</w:t>
      </w:r>
      <w:r w:rsidR="00734312" w:rsidRPr="00301C11">
        <w:rPr>
          <w:rFonts w:asciiTheme="minorHAnsi" w:hAnsiTheme="minorHAnsi" w:cstheme="minorHAnsi"/>
          <w:sz w:val="23"/>
          <w:szCs w:val="23"/>
        </w:rPr>
        <w:t>”</w:t>
      </w:r>
      <w:r w:rsidR="00240854" w:rsidRPr="00301C11">
        <w:rPr>
          <w:rStyle w:val="FootnoteReference"/>
          <w:rFonts w:asciiTheme="minorHAnsi" w:hAnsiTheme="minorHAnsi" w:cstheme="minorHAnsi"/>
          <w:sz w:val="23"/>
          <w:szCs w:val="23"/>
        </w:rPr>
        <w:footnoteReference w:id="21"/>
      </w:r>
      <w:r w:rsidR="00DD55A3" w:rsidRPr="00301C11">
        <w:rPr>
          <w:rFonts w:asciiTheme="minorHAnsi" w:hAnsiTheme="minorHAnsi" w:cstheme="minorHAnsi"/>
          <w:sz w:val="23"/>
          <w:szCs w:val="23"/>
        </w:rPr>
        <w:t xml:space="preserve"> The unequivocal right of people with disabilities to exercise their right to vote</w:t>
      </w:r>
      <w:r w:rsidR="005E5DC2" w:rsidRPr="00301C11">
        <w:rPr>
          <w:rFonts w:asciiTheme="minorHAnsi" w:hAnsiTheme="minorHAnsi" w:cstheme="minorHAnsi"/>
          <w:sz w:val="23"/>
          <w:szCs w:val="23"/>
        </w:rPr>
        <w:t xml:space="preserve"> was </w:t>
      </w:r>
      <w:r w:rsidR="00DD55A3" w:rsidRPr="00301C11">
        <w:rPr>
          <w:rFonts w:asciiTheme="minorHAnsi" w:hAnsiTheme="minorHAnsi" w:cstheme="minorHAnsi"/>
          <w:sz w:val="23"/>
          <w:szCs w:val="23"/>
        </w:rPr>
        <w:t xml:space="preserve">upheld in </w:t>
      </w:r>
      <w:proofErr w:type="spellStart"/>
      <w:r w:rsidR="00DD55A3" w:rsidRPr="00301C11">
        <w:rPr>
          <w:rFonts w:asciiTheme="minorHAnsi" w:hAnsiTheme="minorHAnsi" w:cstheme="minorHAnsi"/>
          <w:i/>
          <w:iCs/>
          <w:sz w:val="23"/>
          <w:szCs w:val="23"/>
        </w:rPr>
        <w:t>Bujdosó</w:t>
      </w:r>
      <w:proofErr w:type="spellEnd"/>
      <w:r w:rsidR="00DD55A3" w:rsidRPr="00301C11">
        <w:rPr>
          <w:rFonts w:asciiTheme="minorHAnsi" w:hAnsiTheme="minorHAnsi" w:cstheme="minorHAnsi"/>
          <w:i/>
          <w:iCs/>
          <w:sz w:val="23"/>
          <w:szCs w:val="23"/>
        </w:rPr>
        <w:t xml:space="preserve"> and 5 others v. Hungary</w:t>
      </w:r>
      <w:r w:rsidR="00DD55A3" w:rsidRPr="00301C11">
        <w:rPr>
          <w:rFonts w:asciiTheme="minorHAnsi" w:hAnsiTheme="minorHAnsi" w:cstheme="minorHAnsi"/>
          <w:sz w:val="23"/>
          <w:szCs w:val="23"/>
        </w:rPr>
        <w:t>,</w:t>
      </w:r>
      <w:r w:rsidR="00DD55A3" w:rsidRPr="00301C11">
        <w:rPr>
          <w:rFonts w:asciiTheme="minorHAnsi" w:hAnsiTheme="minorHAnsi" w:cstheme="minorHAnsi"/>
          <w:sz w:val="23"/>
          <w:szCs w:val="23"/>
          <w:lang w:val="bg-BG"/>
        </w:rPr>
        <w:t xml:space="preserve"> </w:t>
      </w:r>
      <w:r w:rsidR="00DD55A3" w:rsidRPr="00301C11">
        <w:rPr>
          <w:rFonts w:asciiTheme="minorHAnsi" w:hAnsiTheme="minorHAnsi" w:cstheme="minorHAnsi"/>
          <w:sz w:val="23"/>
          <w:szCs w:val="23"/>
        </w:rPr>
        <w:t>which</w:t>
      </w:r>
      <w:r w:rsidR="005E5DC2" w:rsidRPr="00301C11">
        <w:rPr>
          <w:rFonts w:asciiTheme="minorHAnsi" w:hAnsiTheme="minorHAnsi" w:cstheme="minorHAnsi"/>
          <w:sz w:val="23"/>
          <w:szCs w:val="23"/>
        </w:rPr>
        <w:t xml:space="preserve"> found </w:t>
      </w:r>
      <w:r w:rsidR="00DD55A3" w:rsidRPr="00301C11">
        <w:rPr>
          <w:rFonts w:asciiTheme="minorHAnsi" w:hAnsiTheme="minorHAnsi" w:cstheme="minorHAnsi"/>
          <w:sz w:val="23"/>
          <w:szCs w:val="23"/>
        </w:rPr>
        <w:t>that "</w:t>
      </w:r>
      <w:r w:rsidR="00DD55A3" w:rsidRPr="00301C11">
        <w:rPr>
          <w:rFonts w:asciiTheme="minorHAnsi" w:hAnsiTheme="minorHAnsi" w:cstheme="minorHAnsi"/>
          <w:i/>
          <w:iCs/>
          <w:sz w:val="23"/>
          <w:szCs w:val="23"/>
        </w:rPr>
        <w:t>Article 29 does not provide for any reasonable restriction or exception for any group of persons with disabilities. Therefore, an exclusion of the right to vote on the basis of a perceived or actual psychosocial or intellectual disability, including a restriction</w:t>
      </w:r>
      <w:r w:rsidR="00DD55A3" w:rsidRPr="00301C11">
        <w:rPr>
          <w:rFonts w:asciiTheme="minorHAnsi" w:hAnsiTheme="minorHAnsi" w:cstheme="minorHAnsi"/>
          <w:i/>
          <w:iCs/>
          <w:sz w:val="23"/>
          <w:szCs w:val="23"/>
          <w:lang w:val="en-US"/>
        </w:rPr>
        <w:t xml:space="preserve"> pursuant to an individualized assessment, constitutes discrimination on the basis of disability, within the meaning of article 2 of the Convention</w:t>
      </w:r>
      <w:r w:rsidR="00DD55A3" w:rsidRPr="00301C11">
        <w:rPr>
          <w:rFonts w:asciiTheme="minorHAnsi" w:hAnsiTheme="minorHAnsi" w:cstheme="minorHAnsi"/>
          <w:sz w:val="23"/>
          <w:szCs w:val="23"/>
          <w:lang w:val="en-US"/>
        </w:rPr>
        <w:t>".</w:t>
      </w:r>
      <w:r w:rsidR="00DD55A3" w:rsidRPr="00301C11">
        <w:rPr>
          <w:rFonts w:asciiTheme="minorHAnsi" w:hAnsiTheme="minorHAnsi" w:cstheme="minorHAnsi"/>
          <w:sz w:val="23"/>
          <w:szCs w:val="23"/>
          <w:vertAlign w:val="superscript"/>
          <w:lang w:val="en-US"/>
        </w:rPr>
        <w:footnoteReference w:id="22"/>
      </w:r>
      <w:r w:rsidR="00DD55A3" w:rsidRPr="00301C11">
        <w:rPr>
          <w:rFonts w:asciiTheme="minorHAnsi" w:hAnsiTheme="minorHAnsi" w:cstheme="minorHAnsi"/>
          <w:sz w:val="23"/>
          <w:szCs w:val="23"/>
          <w:lang w:val="en-US"/>
        </w:rPr>
        <w:t xml:space="preserve"> Consequently</w:t>
      </w:r>
      <w:r w:rsidR="00B129B0" w:rsidRPr="00301C11">
        <w:rPr>
          <w:rFonts w:asciiTheme="minorHAnsi" w:hAnsiTheme="minorHAnsi" w:cstheme="minorHAnsi"/>
          <w:sz w:val="23"/>
          <w:szCs w:val="23"/>
          <w:lang w:val="en-US"/>
        </w:rPr>
        <w:t>,</w:t>
      </w:r>
      <w:r w:rsidR="00DD55A3" w:rsidRPr="00301C11">
        <w:rPr>
          <w:rFonts w:asciiTheme="minorHAnsi" w:hAnsiTheme="minorHAnsi" w:cstheme="minorHAnsi"/>
          <w:sz w:val="23"/>
          <w:szCs w:val="23"/>
          <w:lang w:val="en-US"/>
        </w:rPr>
        <w:t xml:space="preserve"> the Hungarian legislation that allows for the </w:t>
      </w:r>
      <w:r w:rsidR="006E7814" w:rsidRPr="00301C11">
        <w:rPr>
          <w:rFonts w:asciiTheme="minorHAnsi" w:hAnsiTheme="minorHAnsi" w:cstheme="minorHAnsi"/>
          <w:sz w:val="23"/>
          <w:szCs w:val="23"/>
          <w:lang w:val="en-US"/>
        </w:rPr>
        <w:t xml:space="preserve">disenfranchisement of </w:t>
      </w:r>
      <w:r w:rsidR="00DD55A3" w:rsidRPr="00301C11">
        <w:rPr>
          <w:rFonts w:asciiTheme="minorHAnsi" w:hAnsiTheme="minorHAnsi" w:cstheme="minorHAnsi"/>
          <w:sz w:val="23"/>
          <w:szCs w:val="23"/>
          <w:lang w:val="en-US"/>
        </w:rPr>
        <w:t xml:space="preserve">people with disabilities </w:t>
      </w:r>
      <w:r w:rsidR="006E7814" w:rsidRPr="00301C11">
        <w:rPr>
          <w:rFonts w:asciiTheme="minorHAnsi" w:hAnsiTheme="minorHAnsi" w:cstheme="minorHAnsi"/>
          <w:sz w:val="23"/>
          <w:szCs w:val="23"/>
          <w:lang w:val="en-US"/>
        </w:rPr>
        <w:t>following</w:t>
      </w:r>
      <w:r w:rsidR="00DD55A3" w:rsidRPr="00301C11">
        <w:rPr>
          <w:rFonts w:asciiTheme="minorHAnsi" w:hAnsiTheme="minorHAnsi" w:cstheme="minorHAnsi"/>
          <w:sz w:val="23"/>
          <w:szCs w:val="23"/>
          <w:lang w:val="en-US"/>
        </w:rPr>
        <w:t xml:space="preserve"> an individualized judicial assessment </w:t>
      </w:r>
      <w:r w:rsidR="005E5DC2" w:rsidRPr="00301C11">
        <w:rPr>
          <w:rFonts w:asciiTheme="minorHAnsi" w:hAnsiTheme="minorHAnsi" w:cstheme="minorHAnsi"/>
          <w:sz w:val="23"/>
          <w:szCs w:val="23"/>
          <w:lang w:val="en-US"/>
        </w:rPr>
        <w:t>was</w:t>
      </w:r>
      <w:r w:rsidR="00DD55A3" w:rsidRPr="00301C11">
        <w:rPr>
          <w:rFonts w:asciiTheme="minorHAnsi" w:hAnsiTheme="minorHAnsi" w:cstheme="minorHAnsi"/>
          <w:sz w:val="23"/>
          <w:szCs w:val="23"/>
          <w:lang w:val="en-US"/>
        </w:rPr>
        <w:t xml:space="preserve"> found to </w:t>
      </w:r>
      <w:r w:rsidR="005E5DC2" w:rsidRPr="00301C11">
        <w:rPr>
          <w:rFonts w:asciiTheme="minorHAnsi" w:hAnsiTheme="minorHAnsi" w:cstheme="minorHAnsi"/>
          <w:sz w:val="23"/>
          <w:szCs w:val="23"/>
          <w:lang w:val="en-US"/>
        </w:rPr>
        <w:t>violate</w:t>
      </w:r>
      <w:r w:rsidR="00DD55A3" w:rsidRPr="00301C11">
        <w:rPr>
          <w:rFonts w:asciiTheme="minorHAnsi" w:hAnsiTheme="minorHAnsi" w:cstheme="minorHAnsi"/>
          <w:sz w:val="23"/>
          <w:szCs w:val="23"/>
          <w:lang w:val="en-US"/>
        </w:rPr>
        <w:t xml:space="preserve"> Article 29 of the CRPD</w:t>
      </w:r>
      <w:r w:rsidR="006E7814" w:rsidRPr="00301C11">
        <w:rPr>
          <w:rFonts w:asciiTheme="minorHAnsi" w:hAnsiTheme="minorHAnsi" w:cstheme="minorHAnsi"/>
          <w:sz w:val="23"/>
          <w:szCs w:val="23"/>
          <w:lang w:val="en-US"/>
        </w:rPr>
        <w:t>.</w:t>
      </w:r>
      <w:r w:rsidR="00DD55A3" w:rsidRPr="00301C11">
        <w:rPr>
          <w:rFonts w:asciiTheme="minorHAnsi" w:hAnsiTheme="minorHAnsi" w:cstheme="minorHAnsi"/>
          <w:sz w:val="23"/>
          <w:szCs w:val="23"/>
          <w:lang w:val="en-US"/>
        </w:rPr>
        <w:t xml:space="preserve"> </w:t>
      </w:r>
    </w:p>
    <w:p w14:paraId="537A409D" w14:textId="77777777" w:rsidR="005931D0" w:rsidRPr="00301C11" w:rsidRDefault="005931D0" w:rsidP="005931D0">
      <w:pPr>
        <w:pStyle w:val="ListParagraph"/>
        <w:spacing w:line="240" w:lineRule="auto"/>
        <w:ind w:left="360"/>
        <w:jc w:val="both"/>
        <w:rPr>
          <w:rFonts w:asciiTheme="minorHAnsi" w:hAnsiTheme="minorHAnsi" w:cstheme="minorHAnsi"/>
          <w:sz w:val="23"/>
          <w:szCs w:val="23"/>
          <w:lang w:val="en-US"/>
        </w:rPr>
      </w:pPr>
    </w:p>
    <w:p w14:paraId="1E62DBE7" w14:textId="023BC77D" w:rsidR="005931D0" w:rsidRPr="00301C11" w:rsidRDefault="005931D0" w:rsidP="00E2757C">
      <w:pPr>
        <w:pStyle w:val="ListParagraph"/>
        <w:numPr>
          <w:ilvl w:val="0"/>
          <w:numId w:val="1"/>
        </w:numPr>
        <w:spacing w:line="240" w:lineRule="auto"/>
        <w:ind w:left="360"/>
        <w:jc w:val="both"/>
        <w:rPr>
          <w:rFonts w:asciiTheme="minorHAnsi" w:hAnsiTheme="minorHAnsi" w:cstheme="minorHAnsi"/>
          <w:sz w:val="23"/>
          <w:szCs w:val="23"/>
          <w:lang w:val="en-US"/>
        </w:rPr>
      </w:pPr>
      <w:r w:rsidRPr="00301C11">
        <w:rPr>
          <w:rFonts w:asciiTheme="minorHAnsi" w:hAnsiTheme="minorHAnsi" w:cstheme="minorHAnsi"/>
          <w:sz w:val="23"/>
          <w:szCs w:val="23"/>
        </w:rPr>
        <w:t xml:space="preserve">The CRPD recognises that some people with disabilities struggle to exercise their right to vote on a basis of equality with others and so Article 5 explicitly incorporates a duty to provide reasonable accommodation where requested in the realisation of all rights, including voting accommodations, while Article 2 recognises that failure to provide these reasonable accommodations is a form of discrimination. Article 9 contains an obligation to ensure accessibility of facilities and services. Article 29 reiterates this in the specific context of access to voting procedures, facilities and materials. </w:t>
      </w:r>
    </w:p>
    <w:p w14:paraId="5639106B" w14:textId="77777777" w:rsidR="008A66DB" w:rsidRPr="00301C11" w:rsidRDefault="008A66DB" w:rsidP="00E2757C">
      <w:pPr>
        <w:pStyle w:val="ListParagraph"/>
        <w:spacing w:line="240" w:lineRule="auto"/>
        <w:ind w:left="360" w:hanging="360"/>
        <w:jc w:val="both"/>
        <w:rPr>
          <w:rFonts w:asciiTheme="minorHAnsi" w:hAnsiTheme="minorHAnsi" w:cstheme="minorHAnsi"/>
          <w:sz w:val="23"/>
          <w:szCs w:val="23"/>
          <w:lang w:val="en-US"/>
        </w:rPr>
      </w:pPr>
    </w:p>
    <w:p w14:paraId="1CC7C5CA" w14:textId="6E0EF945" w:rsidR="00734312" w:rsidRPr="00301C11" w:rsidRDefault="0040235F" w:rsidP="00E2757C">
      <w:pPr>
        <w:pStyle w:val="ListParagraph"/>
        <w:numPr>
          <w:ilvl w:val="0"/>
          <w:numId w:val="1"/>
        </w:numPr>
        <w:spacing w:line="240" w:lineRule="auto"/>
        <w:ind w:left="360"/>
        <w:jc w:val="both"/>
        <w:rPr>
          <w:rFonts w:asciiTheme="minorHAnsi" w:hAnsiTheme="minorHAnsi" w:cstheme="minorHAnsi"/>
          <w:sz w:val="23"/>
          <w:szCs w:val="23"/>
          <w:lang w:val="en-US"/>
        </w:rPr>
      </w:pPr>
      <w:r w:rsidRPr="00301C11">
        <w:rPr>
          <w:rFonts w:asciiTheme="minorHAnsi" w:hAnsiTheme="minorHAnsi" w:cstheme="minorHAnsi"/>
          <w:sz w:val="23"/>
          <w:szCs w:val="23"/>
          <w:lang w:val="en-US"/>
        </w:rPr>
        <w:t>The UN Special Rapporteur on Disability has repeatedly called for the recognition and facilitation of the right to vote of people with disabilities</w:t>
      </w:r>
      <w:r w:rsidR="00612EB5" w:rsidRPr="00301C11">
        <w:rPr>
          <w:rFonts w:asciiTheme="minorHAnsi" w:hAnsiTheme="minorHAnsi" w:cstheme="minorHAnsi"/>
          <w:sz w:val="23"/>
          <w:szCs w:val="23"/>
          <w:lang w:val="en-US"/>
        </w:rPr>
        <w:t xml:space="preserve">, drawing directly on the language of the CRPD: </w:t>
      </w:r>
      <w:r w:rsidRPr="00301C11">
        <w:rPr>
          <w:rFonts w:asciiTheme="minorHAnsi" w:hAnsiTheme="minorHAnsi" w:cstheme="minorHAnsi"/>
          <w:sz w:val="23"/>
          <w:szCs w:val="23"/>
          <w:lang w:val="en-US"/>
        </w:rPr>
        <w:t>“</w:t>
      </w:r>
      <w:r w:rsidRPr="00301C11">
        <w:rPr>
          <w:rFonts w:asciiTheme="minorHAnsi" w:hAnsiTheme="minorHAnsi" w:cstheme="minorHAnsi"/>
          <w:i/>
          <w:iCs/>
          <w:sz w:val="23"/>
          <w:szCs w:val="23"/>
          <w:lang w:val="en-US"/>
        </w:rPr>
        <w:t>P</w:t>
      </w:r>
      <w:r w:rsidR="008A66DB" w:rsidRPr="00301C11">
        <w:rPr>
          <w:rFonts w:asciiTheme="minorHAnsi" w:hAnsiTheme="minorHAnsi" w:cstheme="minorHAnsi"/>
          <w:i/>
          <w:iCs/>
          <w:sz w:val="23"/>
          <w:szCs w:val="23"/>
          <w:lang w:val="en-US"/>
        </w:rPr>
        <w:t>ersons with disabilities must enjoy the right to vote and to be elected on an equal basis with others. No one should be restricted, either in law or in practice, in the enjoyment of political rights on the grounds of disability. States must guarantee the right of persons with disabilities to vote and to be elected, including by ensuring that the electoral process, the voting facilities and materials are adequate, accessible and easy to understand and use, and by facilitating the use of assistive and new technologies</w:t>
      </w:r>
      <w:r w:rsidR="008A66DB" w:rsidRPr="00301C11">
        <w:rPr>
          <w:rFonts w:asciiTheme="minorHAnsi" w:hAnsiTheme="minorHAnsi" w:cstheme="minorHAnsi"/>
          <w:sz w:val="23"/>
          <w:szCs w:val="23"/>
          <w:lang w:val="en-US"/>
        </w:rPr>
        <w:t>.</w:t>
      </w:r>
      <w:r w:rsidRPr="00301C11">
        <w:rPr>
          <w:rFonts w:asciiTheme="minorHAnsi" w:hAnsiTheme="minorHAnsi" w:cstheme="minorHAnsi"/>
          <w:sz w:val="23"/>
          <w:szCs w:val="23"/>
          <w:lang w:val="en-US"/>
        </w:rPr>
        <w:t>”</w:t>
      </w:r>
      <w:r w:rsidRPr="00301C11">
        <w:rPr>
          <w:rStyle w:val="FootnoteReference"/>
          <w:rFonts w:asciiTheme="minorHAnsi" w:hAnsiTheme="minorHAnsi" w:cstheme="minorHAnsi"/>
          <w:sz w:val="23"/>
          <w:szCs w:val="23"/>
          <w:lang w:val="en-US"/>
        </w:rPr>
        <w:footnoteReference w:id="23"/>
      </w:r>
      <w:r w:rsidR="008A66DB" w:rsidRPr="00301C11">
        <w:rPr>
          <w:rFonts w:asciiTheme="minorHAnsi" w:hAnsiTheme="minorHAnsi" w:cstheme="minorHAnsi"/>
          <w:sz w:val="23"/>
          <w:szCs w:val="23"/>
          <w:lang w:val="en-US"/>
        </w:rPr>
        <w:t xml:space="preserve"> </w:t>
      </w:r>
    </w:p>
    <w:p w14:paraId="208091F8" w14:textId="77777777" w:rsidR="0040235F" w:rsidRPr="00301C11" w:rsidRDefault="0040235F" w:rsidP="00E2757C">
      <w:pPr>
        <w:pStyle w:val="ListParagraph"/>
        <w:spacing w:line="240" w:lineRule="auto"/>
        <w:ind w:left="0"/>
        <w:jc w:val="both"/>
        <w:rPr>
          <w:rFonts w:asciiTheme="minorHAnsi" w:hAnsiTheme="minorHAnsi" w:cstheme="minorHAnsi"/>
          <w:sz w:val="23"/>
          <w:szCs w:val="23"/>
          <w:lang w:val="en-US"/>
        </w:rPr>
      </w:pPr>
    </w:p>
    <w:p w14:paraId="0FA9A195" w14:textId="77777777" w:rsidR="006E7814" w:rsidRPr="00301C11" w:rsidRDefault="006E7814" w:rsidP="00E2757C">
      <w:pPr>
        <w:pStyle w:val="ListParagraph"/>
        <w:keepNext/>
        <w:keepLines/>
        <w:numPr>
          <w:ilvl w:val="0"/>
          <w:numId w:val="18"/>
        </w:numPr>
        <w:spacing w:line="240" w:lineRule="auto"/>
        <w:ind w:left="0"/>
        <w:contextualSpacing w:val="0"/>
        <w:outlineLvl w:val="0"/>
        <w:rPr>
          <w:rFonts w:asciiTheme="minorHAnsi" w:eastAsiaTheme="majorEastAsia" w:hAnsiTheme="minorHAnsi" w:cstheme="minorHAnsi"/>
          <w:b/>
          <w:bCs/>
          <w:vanish/>
          <w:sz w:val="23"/>
          <w:szCs w:val="23"/>
          <w:u w:val="single"/>
        </w:rPr>
      </w:pPr>
    </w:p>
    <w:p w14:paraId="5CE12E27" w14:textId="064CB62F" w:rsidR="00F771F6" w:rsidRPr="00301C11" w:rsidRDefault="72B17112" w:rsidP="00E2757C">
      <w:pPr>
        <w:pStyle w:val="Heading1"/>
        <w:spacing w:line="240" w:lineRule="auto"/>
        <w:rPr>
          <w:rFonts w:asciiTheme="minorHAnsi" w:hAnsiTheme="minorHAnsi" w:cstheme="minorHAnsi"/>
          <w:sz w:val="23"/>
          <w:szCs w:val="23"/>
        </w:rPr>
      </w:pPr>
      <w:r w:rsidRPr="00301C11">
        <w:rPr>
          <w:rFonts w:asciiTheme="minorHAnsi" w:hAnsiTheme="minorHAnsi" w:cstheme="minorHAnsi"/>
          <w:sz w:val="23"/>
          <w:szCs w:val="23"/>
        </w:rPr>
        <w:t xml:space="preserve">Recent </w:t>
      </w:r>
      <w:r w:rsidR="005931D0" w:rsidRPr="00301C11">
        <w:rPr>
          <w:rFonts w:asciiTheme="minorHAnsi" w:hAnsiTheme="minorHAnsi" w:cstheme="minorHAnsi"/>
          <w:sz w:val="23"/>
          <w:szCs w:val="23"/>
        </w:rPr>
        <w:t xml:space="preserve">national </w:t>
      </w:r>
      <w:r w:rsidRPr="00301C11">
        <w:rPr>
          <w:rFonts w:asciiTheme="minorHAnsi" w:hAnsiTheme="minorHAnsi" w:cstheme="minorHAnsi"/>
          <w:sz w:val="23"/>
          <w:szCs w:val="23"/>
        </w:rPr>
        <w:t>developments in legislation and practice in the Council of Europe region</w:t>
      </w:r>
    </w:p>
    <w:p w14:paraId="3BFFB2A2" w14:textId="77777777" w:rsidR="00F771F6" w:rsidRPr="00301C11" w:rsidRDefault="00F771F6" w:rsidP="00E2757C">
      <w:pPr>
        <w:spacing w:line="240" w:lineRule="auto"/>
        <w:jc w:val="both"/>
        <w:rPr>
          <w:rFonts w:asciiTheme="minorHAnsi" w:hAnsiTheme="minorHAnsi" w:cstheme="minorHAnsi"/>
          <w:sz w:val="23"/>
          <w:szCs w:val="23"/>
        </w:rPr>
      </w:pPr>
    </w:p>
    <w:p w14:paraId="38C323C1" w14:textId="3C0567C1" w:rsidR="00CD3FDA" w:rsidRPr="00301C11" w:rsidRDefault="46C4C9A0" w:rsidP="005931D0">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rPr>
        <w:t>As it has been noted above</w:t>
      </w:r>
      <w:r w:rsidR="00CD3FDA" w:rsidRPr="00301C11">
        <w:rPr>
          <w:rFonts w:asciiTheme="minorHAnsi" w:hAnsiTheme="minorHAnsi" w:cstheme="minorHAnsi"/>
          <w:sz w:val="23"/>
          <w:szCs w:val="23"/>
        </w:rPr>
        <w:t>,</w:t>
      </w:r>
      <w:r w:rsidRPr="00301C11">
        <w:rPr>
          <w:rFonts w:asciiTheme="minorHAnsi" w:hAnsiTheme="minorHAnsi" w:cstheme="minorHAnsi"/>
          <w:sz w:val="23"/>
          <w:szCs w:val="23"/>
        </w:rPr>
        <w:t xml:space="preserve"> to</w:t>
      </w:r>
      <w:r w:rsidR="00CD3FDA" w:rsidRPr="00301C11">
        <w:rPr>
          <w:rFonts w:asciiTheme="minorHAnsi" w:hAnsiTheme="minorHAnsi" w:cstheme="minorHAnsi"/>
          <w:sz w:val="23"/>
          <w:szCs w:val="23"/>
        </w:rPr>
        <w:t xml:space="preserve"> </w:t>
      </w:r>
      <w:r w:rsidRPr="00301C11">
        <w:rPr>
          <w:rFonts w:asciiTheme="minorHAnsi" w:hAnsiTheme="minorHAnsi" w:cstheme="minorHAnsi"/>
          <w:sz w:val="23"/>
          <w:szCs w:val="23"/>
        </w:rPr>
        <w:t xml:space="preserve">date </w:t>
      </w:r>
      <w:r w:rsidR="005931D0" w:rsidRPr="00301C11">
        <w:rPr>
          <w:rFonts w:asciiTheme="minorHAnsi" w:hAnsiTheme="minorHAnsi" w:cstheme="minorHAnsi"/>
          <w:sz w:val="23"/>
          <w:szCs w:val="23"/>
        </w:rPr>
        <w:t xml:space="preserve">all </w:t>
      </w:r>
      <w:r w:rsidR="00CD3FDA" w:rsidRPr="00301C11">
        <w:rPr>
          <w:rFonts w:asciiTheme="minorHAnsi" w:hAnsiTheme="minorHAnsi" w:cstheme="minorHAnsi"/>
          <w:sz w:val="23"/>
          <w:szCs w:val="23"/>
        </w:rPr>
        <w:t>but two</w:t>
      </w:r>
      <w:r w:rsidRPr="00301C11">
        <w:rPr>
          <w:rFonts w:asciiTheme="minorHAnsi" w:hAnsiTheme="minorHAnsi" w:cstheme="minorHAnsi"/>
          <w:sz w:val="23"/>
          <w:szCs w:val="23"/>
        </w:rPr>
        <w:t xml:space="preserve"> Council of Europe Member States </w:t>
      </w:r>
      <w:r w:rsidR="00CD3FDA" w:rsidRPr="00301C11">
        <w:rPr>
          <w:rFonts w:asciiTheme="minorHAnsi" w:hAnsiTheme="minorHAnsi" w:cstheme="minorHAnsi"/>
          <w:sz w:val="23"/>
          <w:szCs w:val="23"/>
        </w:rPr>
        <w:t>have</w:t>
      </w:r>
      <w:r w:rsidRPr="00301C11">
        <w:rPr>
          <w:rFonts w:asciiTheme="minorHAnsi" w:hAnsiTheme="minorHAnsi" w:cstheme="minorHAnsi"/>
          <w:sz w:val="23"/>
          <w:szCs w:val="23"/>
        </w:rPr>
        <w:t xml:space="preserve"> ratified the CRPD</w:t>
      </w:r>
      <w:r w:rsidR="00CD3FDA" w:rsidRPr="00301C11">
        <w:rPr>
          <w:rFonts w:asciiTheme="minorHAnsi" w:hAnsiTheme="minorHAnsi" w:cstheme="minorHAnsi"/>
          <w:sz w:val="23"/>
          <w:szCs w:val="23"/>
        </w:rPr>
        <w:t>. T</w:t>
      </w:r>
      <w:r w:rsidRPr="00301C11">
        <w:rPr>
          <w:rFonts w:asciiTheme="minorHAnsi" w:hAnsiTheme="minorHAnsi" w:cstheme="minorHAnsi"/>
          <w:sz w:val="23"/>
          <w:szCs w:val="23"/>
        </w:rPr>
        <w:t xml:space="preserve">here </w:t>
      </w:r>
      <w:r w:rsidR="00CD3FDA" w:rsidRPr="00301C11">
        <w:rPr>
          <w:rFonts w:asciiTheme="minorHAnsi" w:hAnsiTheme="minorHAnsi" w:cstheme="minorHAnsi"/>
          <w:sz w:val="23"/>
          <w:szCs w:val="23"/>
        </w:rPr>
        <w:t>ha</w:t>
      </w:r>
      <w:r w:rsidRPr="00301C11">
        <w:rPr>
          <w:rFonts w:asciiTheme="minorHAnsi" w:hAnsiTheme="minorHAnsi" w:cstheme="minorHAnsi"/>
          <w:sz w:val="23"/>
          <w:szCs w:val="23"/>
        </w:rPr>
        <w:t xml:space="preserve">s </w:t>
      </w:r>
      <w:r w:rsidR="00CD3FDA" w:rsidRPr="00301C11">
        <w:rPr>
          <w:rFonts w:asciiTheme="minorHAnsi" w:hAnsiTheme="minorHAnsi" w:cstheme="minorHAnsi"/>
          <w:sz w:val="23"/>
          <w:szCs w:val="23"/>
        </w:rPr>
        <w:t xml:space="preserve">been </w:t>
      </w:r>
      <w:r w:rsidRPr="00301C11">
        <w:rPr>
          <w:rFonts w:asciiTheme="minorHAnsi" w:hAnsiTheme="minorHAnsi" w:cstheme="minorHAnsi"/>
          <w:sz w:val="23"/>
          <w:szCs w:val="23"/>
        </w:rPr>
        <w:t xml:space="preserve">continuous progress </w:t>
      </w:r>
      <w:r w:rsidR="00CD3FDA" w:rsidRPr="00301C11">
        <w:rPr>
          <w:rFonts w:asciiTheme="minorHAnsi" w:hAnsiTheme="minorHAnsi" w:cstheme="minorHAnsi"/>
          <w:sz w:val="23"/>
          <w:szCs w:val="23"/>
        </w:rPr>
        <w:t>by States in recognising the need to ensure</w:t>
      </w:r>
      <w:r w:rsidRPr="00301C11">
        <w:rPr>
          <w:rFonts w:asciiTheme="minorHAnsi" w:hAnsiTheme="minorHAnsi" w:cstheme="minorHAnsi"/>
          <w:sz w:val="23"/>
          <w:szCs w:val="23"/>
        </w:rPr>
        <w:t xml:space="preserve"> the right to vote </w:t>
      </w:r>
      <w:r w:rsidR="00CD3FDA" w:rsidRPr="00301C11">
        <w:rPr>
          <w:rFonts w:asciiTheme="minorHAnsi" w:hAnsiTheme="minorHAnsi" w:cstheme="minorHAnsi"/>
          <w:sz w:val="23"/>
          <w:szCs w:val="23"/>
        </w:rPr>
        <w:t>of</w:t>
      </w:r>
      <w:r w:rsidRPr="00301C11">
        <w:rPr>
          <w:rFonts w:asciiTheme="minorHAnsi" w:hAnsiTheme="minorHAnsi" w:cstheme="minorHAnsi"/>
          <w:sz w:val="23"/>
          <w:szCs w:val="23"/>
        </w:rPr>
        <w:t xml:space="preserve"> persons with disabilities as part of the CRPD implementation process. The CRPD Committee </w:t>
      </w:r>
      <w:r w:rsidRPr="00301C11">
        <w:rPr>
          <w:rFonts w:asciiTheme="minorHAnsi" w:hAnsiTheme="minorHAnsi" w:cstheme="minorHAnsi"/>
          <w:sz w:val="23"/>
          <w:szCs w:val="23"/>
        </w:rPr>
        <w:lastRenderedPageBreak/>
        <w:t xml:space="preserve">provides a strong impetus </w:t>
      </w:r>
      <w:r w:rsidR="005931D0" w:rsidRPr="00301C11">
        <w:rPr>
          <w:rFonts w:asciiTheme="minorHAnsi" w:hAnsiTheme="minorHAnsi" w:cstheme="minorHAnsi"/>
          <w:sz w:val="23"/>
          <w:szCs w:val="23"/>
        </w:rPr>
        <w:t>for</w:t>
      </w:r>
      <w:r w:rsidRPr="00301C11">
        <w:rPr>
          <w:rFonts w:asciiTheme="minorHAnsi" w:hAnsiTheme="minorHAnsi" w:cstheme="minorHAnsi"/>
          <w:sz w:val="23"/>
          <w:szCs w:val="23"/>
        </w:rPr>
        <w:t xml:space="preserve"> national legislative and policy reforms </w:t>
      </w:r>
      <w:r w:rsidR="005931D0" w:rsidRPr="00301C11">
        <w:rPr>
          <w:rFonts w:asciiTheme="minorHAnsi" w:hAnsiTheme="minorHAnsi" w:cstheme="minorHAnsi"/>
          <w:sz w:val="23"/>
          <w:szCs w:val="23"/>
        </w:rPr>
        <w:t>on</w:t>
      </w:r>
      <w:r w:rsidRPr="00301C11">
        <w:rPr>
          <w:rFonts w:asciiTheme="minorHAnsi" w:hAnsiTheme="minorHAnsi" w:cstheme="minorHAnsi"/>
          <w:sz w:val="23"/>
          <w:szCs w:val="23"/>
        </w:rPr>
        <w:t xml:space="preserve"> the political participation of people with disabilities through the growing number of its concluding observations to State Parties. </w:t>
      </w:r>
      <w:r w:rsidR="00A52B74" w:rsidRPr="00301C11">
        <w:rPr>
          <w:rFonts w:asciiTheme="minorHAnsi" w:hAnsiTheme="minorHAnsi" w:cstheme="minorHAnsi"/>
          <w:sz w:val="23"/>
          <w:szCs w:val="23"/>
        </w:rPr>
        <w:t xml:space="preserve">In more than ten </w:t>
      </w:r>
      <w:r w:rsidR="00CD3FDA" w:rsidRPr="00301C11">
        <w:rPr>
          <w:rFonts w:asciiTheme="minorHAnsi" w:hAnsiTheme="minorHAnsi" w:cstheme="minorHAnsi"/>
          <w:sz w:val="23"/>
          <w:szCs w:val="23"/>
        </w:rPr>
        <w:t>Council of Europe</w:t>
      </w:r>
      <w:r w:rsidR="009C1608" w:rsidRPr="00301C11">
        <w:rPr>
          <w:rFonts w:asciiTheme="minorHAnsi" w:hAnsiTheme="minorHAnsi" w:cstheme="minorHAnsi"/>
          <w:sz w:val="23"/>
          <w:szCs w:val="23"/>
        </w:rPr>
        <w:t xml:space="preserve"> countries </w:t>
      </w:r>
      <w:r w:rsidR="00A52B74" w:rsidRPr="00301C11">
        <w:rPr>
          <w:rFonts w:asciiTheme="minorHAnsi" w:hAnsiTheme="minorHAnsi" w:cstheme="minorHAnsi"/>
          <w:sz w:val="23"/>
          <w:szCs w:val="23"/>
        </w:rPr>
        <w:t xml:space="preserve">people with disabilities </w:t>
      </w:r>
      <w:r w:rsidR="00BB6E8D" w:rsidRPr="00301C11">
        <w:rPr>
          <w:rFonts w:asciiTheme="minorHAnsi" w:hAnsiTheme="minorHAnsi" w:cstheme="minorHAnsi"/>
          <w:sz w:val="23"/>
          <w:szCs w:val="23"/>
        </w:rPr>
        <w:t xml:space="preserve">can exercise </w:t>
      </w:r>
      <w:r w:rsidR="00CD3FDA" w:rsidRPr="00301C11">
        <w:rPr>
          <w:rFonts w:asciiTheme="minorHAnsi" w:hAnsiTheme="minorHAnsi" w:cstheme="minorHAnsi"/>
          <w:sz w:val="23"/>
          <w:szCs w:val="23"/>
        </w:rPr>
        <w:t xml:space="preserve">their right to vote without </w:t>
      </w:r>
      <w:r w:rsidR="00414D42" w:rsidRPr="00301C11">
        <w:rPr>
          <w:rFonts w:asciiTheme="minorHAnsi" w:hAnsiTheme="minorHAnsi" w:cstheme="minorHAnsi"/>
          <w:sz w:val="23"/>
          <w:szCs w:val="23"/>
        </w:rPr>
        <w:t>restriction</w:t>
      </w:r>
      <w:r w:rsidR="00BB6E8D" w:rsidRPr="00301C11">
        <w:rPr>
          <w:rFonts w:asciiTheme="minorHAnsi" w:hAnsiTheme="minorHAnsi" w:cstheme="minorHAnsi"/>
          <w:sz w:val="23"/>
          <w:szCs w:val="23"/>
        </w:rPr>
        <w:t>.</w:t>
      </w:r>
      <w:r w:rsidR="009C1608" w:rsidRPr="00301C11">
        <w:rPr>
          <w:rStyle w:val="FootnoteReference"/>
          <w:rFonts w:asciiTheme="minorHAnsi" w:hAnsiTheme="minorHAnsi" w:cstheme="minorHAnsi"/>
          <w:sz w:val="23"/>
          <w:szCs w:val="23"/>
        </w:rPr>
        <w:footnoteReference w:id="24"/>
      </w:r>
      <w:r w:rsidR="00CD3FDA" w:rsidRPr="00301C11">
        <w:rPr>
          <w:rFonts w:asciiTheme="minorHAnsi" w:hAnsiTheme="minorHAnsi" w:cstheme="minorHAnsi"/>
          <w:sz w:val="23"/>
          <w:szCs w:val="23"/>
        </w:rPr>
        <w:t xml:space="preserve"> </w:t>
      </w:r>
      <w:r w:rsidR="00F93007" w:rsidRPr="00301C11">
        <w:rPr>
          <w:rFonts w:asciiTheme="minorHAnsi" w:hAnsiTheme="minorHAnsi" w:cstheme="minorHAnsi"/>
          <w:sz w:val="23"/>
          <w:szCs w:val="23"/>
        </w:rPr>
        <w:t>As Sándor Gurbai remarks,</w:t>
      </w:r>
      <w:r w:rsidR="00CD3FDA" w:rsidRPr="00301C11">
        <w:rPr>
          <w:rFonts w:asciiTheme="minorHAnsi" w:hAnsiTheme="minorHAnsi" w:cstheme="minorHAnsi"/>
          <w:sz w:val="23"/>
          <w:szCs w:val="23"/>
        </w:rPr>
        <w:t xml:space="preserve"> as part of Member States implementation of the CRPD,</w:t>
      </w:r>
      <w:r w:rsidR="00F93007" w:rsidRPr="00301C11">
        <w:rPr>
          <w:rFonts w:asciiTheme="minorHAnsi" w:hAnsiTheme="minorHAnsi" w:cstheme="minorHAnsi"/>
          <w:sz w:val="23"/>
          <w:szCs w:val="23"/>
        </w:rPr>
        <w:t xml:space="preserve"> “</w:t>
      </w:r>
      <w:r w:rsidR="00F93007" w:rsidRPr="00301C11">
        <w:rPr>
          <w:rFonts w:asciiTheme="minorHAnsi" w:hAnsiTheme="minorHAnsi" w:cstheme="minorHAnsi"/>
          <w:i/>
          <w:iCs/>
          <w:sz w:val="23"/>
          <w:szCs w:val="23"/>
        </w:rPr>
        <w:t>automatic deprivation of adults with intellectual disabilities, psycho-social disabilities and autism placed under guardianship of their voting rights was typically replaced by regulations according to which all adult persons with intellectual disabilities, psychosocial disabilities and autism including those placed under guardianship can freely exercise their right to vote</w:t>
      </w:r>
      <w:r w:rsidR="00F93007" w:rsidRPr="00301C11">
        <w:rPr>
          <w:rFonts w:asciiTheme="minorHAnsi" w:hAnsiTheme="minorHAnsi" w:cstheme="minorHAnsi"/>
          <w:sz w:val="23"/>
          <w:szCs w:val="23"/>
        </w:rPr>
        <w:t>.”</w:t>
      </w:r>
      <w:r w:rsidR="00F93007" w:rsidRPr="00301C11">
        <w:rPr>
          <w:rStyle w:val="FootnoteReference"/>
          <w:rFonts w:asciiTheme="minorHAnsi" w:hAnsiTheme="minorHAnsi" w:cstheme="minorHAnsi"/>
          <w:sz w:val="23"/>
          <w:szCs w:val="23"/>
        </w:rPr>
        <w:footnoteReference w:id="25"/>
      </w:r>
      <w:r w:rsidR="008B4B84" w:rsidRPr="00301C11">
        <w:rPr>
          <w:sz w:val="23"/>
          <w:szCs w:val="23"/>
        </w:rPr>
        <w:t xml:space="preserve"> </w:t>
      </w:r>
    </w:p>
    <w:p w14:paraId="1799E1FF" w14:textId="77777777" w:rsidR="00BB6E8D" w:rsidRPr="00301C11" w:rsidRDefault="00BB6E8D" w:rsidP="00BB6E8D">
      <w:pPr>
        <w:pStyle w:val="ListParagraph"/>
        <w:spacing w:line="240" w:lineRule="auto"/>
        <w:ind w:left="360"/>
        <w:jc w:val="both"/>
        <w:rPr>
          <w:rFonts w:asciiTheme="minorHAnsi" w:hAnsiTheme="minorHAnsi" w:cstheme="minorHAnsi"/>
          <w:sz w:val="23"/>
          <w:szCs w:val="23"/>
        </w:rPr>
      </w:pPr>
    </w:p>
    <w:p w14:paraId="1A47D783" w14:textId="3AB55D72" w:rsidR="009F2E54" w:rsidRPr="00301C11" w:rsidRDefault="003E6B54" w:rsidP="00BB6E8D">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rPr>
        <w:t xml:space="preserve">Reform initiatives have been </w:t>
      </w:r>
      <w:r w:rsidR="00BB6E8D" w:rsidRPr="00301C11">
        <w:rPr>
          <w:rFonts w:asciiTheme="minorHAnsi" w:hAnsiTheme="minorHAnsi" w:cstheme="minorHAnsi"/>
          <w:sz w:val="23"/>
          <w:szCs w:val="23"/>
        </w:rPr>
        <w:t xml:space="preserve">indeed </w:t>
      </w:r>
      <w:r w:rsidRPr="00301C11">
        <w:rPr>
          <w:rFonts w:asciiTheme="minorHAnsi" w:hAnsiTheme="minorHAnsi" w:cstheme="minorHAnsi"/>
          <w:sz w:val="23"/>
          <w:szCs w:val="23"/>
        </w:rPr>
        <w:t>launched in several European countries</w:t>
      </w:r>
      <w:r w:rsidR="00BB6E8D" w:rsidRPr="00301C11">
        <w:rPr>
          <w:rFonts w:asciiTheme="minorHAnsi" w:hAnsiTheme="minorHAnsi" w:cstheme="minorHAnsi"/>
          <w:sz w:val="23"/>
          <w:szCs w:val="23"/>
        </w:rPr>
        <w:t xml:space="preserve"> </w:t>
      </w:r>
      <w:r w:rsidR="00175696" w:rsidRPr="00301C11">
        <w:rPr>
          <w:rFonts w:asciiTheme="minorHAnsi" w:hAnsiTheme="minorHAnsi" w:cstheme="minorHAnsi"/>
          <w:sz w:val="23"/>
          <w:szCs w:val="23"/>
        </w:rPr>
        <w:t xml:space="preserve">since </w:t>
      </w:r>
      <w:r w:rsidR="00A45A1B" w:rsidRPr="00301C11">
        <w:rPr>
          <w:rFonts w:asciiTheme="minorHAnsi" w:hAnsiTheme="minorHAnsi" w:cstheme="minorHAnsi"/>
          <w:sz w:val="23"/>
          <w:szCs w:val="23"/>
        </w:rPr>
        <w:t>the entry into force of</w:t>
      </w:r>
      <w:r w:rsidR="00175696" w:rsidRPr="00301C11">
        <w:rPr>
          <w:rFonts w:asciiTheme="minorHAnsi" w:hAnsiTheme="minorHAnsi" w:cstheme="minorHAnsi"/>
          <w:sz w:val="23"/>
          <w:szCs w:val="23"/>
        </w:rPr>
        <w:t xml:space="preserve"> the CRPD </w:t>
      </w:r>
      <w:r w:rsidR="009F2E54" w:rsidRPr="00301C11">
        <w:rPr>
          <w:rFonts w:asciiTheme="minorHAnsi" w:hAnsiTheme="minorHAnsi" w:cstheme="minorHAnsi"/>
          <w:sz w:val="23"/>
          <w:szCs w:val="23"/>
        </w:rPr>
        <w:t>and</w:t>
      </w:r>
      <w:r w:rsidR="00175696" w:rsidRPr="00301C11">
        <w:rPr>
          <w:rFonts w:asciiTheme="minorHAnsi" w:hAnsiTheme="minorHAnsi" w:cstheme="minorHAnsi"/>
          <w:sz w:val="23"/>
          <w:szCs w:val="23"/>
        </w:rPr>
        <w:t>, al</w:t>
      </w:r>
      <w:r w:rsidR="009F2E54" w:rsidRPr="00301C11">
        <w:rPr>
          <w:rFonts w:asciiTheme="minorHAnsi" w:hAnsiTheme="minorHAnsi" w:cstheme="minorHAnsi"/>
          <w:sz w:val="23"/>
          <w:szCs w:val="23"/>
        </w:rPr>
        <w:t xml:space="preserve">though some </w:t>
      </w:r>
      <w:r w:rsidR="00175696" w:rsidRPr="00301C11">
        <w:rPr>
          <w:rFonts w:asciiTheme="minorHAnsi" w:hAnsiTheme="minorHAnsi" w:cstheme="minorHAnsi"/>
          <w:sz w:val="23"/>
          <w:szCs w:val="23"/>
        </w:rPr>
        <w:t xml:space="preserve">are yet to be </w:t>
      </w:r>
      <w:r w:rsidR="009F2E54" w:rsidRPr="00301C11">
        <w:rPr>
          <w:rFonts w:asciiTheme="minorHAnsi" w:hAnsiTheme="minorHAnsi" w:cstheme="minorHAnsi"/>
          <w:sz w:val="23"/>
          <w:szCs w:val="23"/>
        </w:rPr>
        <w:t>finally adopted</w:t>
      </w:r>
      <w:r w:rsidR="00175696" w:rsidRPr="00301C11">
        <w:rPr>
          <w:rFonts w:asciiTheme="minorHAnsi" w:hAnsiTheme="minorHAnsi" w:cstheme="minorHAnsi"/>
          <w:sz w:val="23"/>
          <w:szCs w:val="23"/>
        </w:rPr>
        <w:t>,</w:t>
      </w:r>
      <w:r w:rsidR="009F2E54" w:rsidRPr="00301C11">
        <w:rPr>
          <w:rFonts w:asciiTheme="minorHAnsi" w:hAnsiTheme="minorHAnsi" w:cstheme="minorHAnsi"/>
          <w:sz w:val="23"/>
          <w:szCs w:val="23"/>
        </w:rPr>
        <w:t xml:space="preserve"> they</w:t>
      </w:r>
      <w:r w:rsidR="00175696" w:rsidRPr="00301C11">
        <w:rPr>
          <w:rFonts w:asciiTheme="minorHAnsi" w:hAnsiTheme="minorHAnsi" w:cstheme="minorHAnsi"/>
          <w:sz w:val="23"/>
          <w:szCs w:val="23"/>
        </w:rPr>
        <w:t xml:space="preserve"> clearly</w:t>
      </w:r>
      <w:r w:rsidR="009F2E54" w:rsidRPr="00301C11">
        <w:rPr>
          <w:rFonts w:asciiTheme="minorHAnsi" w:hAnsiTheme="minorHAnsi" w:cstheme="minorHAnsi"/>
          <w:sz w:val="23"/>
          <w:szCs w:val="23"/>
        </w:rPr>
        <w:t xml:space="preserve"> reflect</w:t>
      </w:r>
      <w:r w:rsidR="00175696" w:rsidRPr="00301C11">
        <w:rPr>
          <w:rFonts w:asciiTheme="minorHAnsi" w:hAnsiTheme="minorHAnsi" w:cstheme="minorHAnsi"/>
          <w:sz w:val="23"/>
          <w:szCs w:val="23"/>
        </w:rPr>
        <w:t xml:space="preserve"> consensus in</w:t>
      </w:r>
      <w:r w:rsidR="009F2E54" w:rsidRPr="00301C11">
        <w:rPr>
          <w:rFonts w:asciiTheme="minorHAnsi" w:hAnsiTheme="minorHAnsi" w:cstheme="minorHAnsi"/>
          <w:sz w:val="23"/>
          <w:szCs w:val="23"/>
        </w:rPr>
        <w:t xml:space="preserve"> </w:t>
      </w:r>
      <w:r w:rsidR="00612EB5" w:rsidRPr="00301C11">
        <w:rPr>
          <w:rFonts w:asciiTheme="minorHAnsi" w:hAnsiTheme="minorHAnsi" w:cstheme="minorHAnsi"/>
          <w:sz w:val="23"/>
          <w:szCs w:val="23"/>
        </w:rPr>
        <w:t>a move away from voting restrictions for people with disabilities</w:t>
      </w:r>
      <w:r w:rsidR="009F2E54" w:rsidRPr="00301C11">
        <w:rPr>
          <w:rFonts w:asciiTheme="minorHAnsi" w:hAnsiTheme="minorHAnsi" w:cstheme="minorHAnsi"/>
          <w:sz w:val="23"/>
          <w:szCs w:val="23"/>
        </w:rPr>
        <w:t xml:space="preserve">. </w:t>
      </w:r>
      <w:r w:rsidR="00BB6E8D" w:rsidRPr="00301C11">
        <w:rPr>
          <w:rFonts w:asciiTheme="minorHAnsi" w:hAnsiTheme="minorHAnsi" w:cstheme="minorHAnsi"/>
          <w:sz w:val="23"/>
          <w:szCs w:val="23"/>
        </w:rPr>
        <w:t>For example, legislative reforms entering into force in 2008 and 2009 in the United Kingdom and in the Netherlands respectively restored the right to vote of people deprived of legal capacity by removing legislative restrictions based on deprivation of legal capacity therefore allowing them to exercise their right to vote.</w:t>
      </w:r>
      <w:r w:rsidR="00BB6E8D" w:rsidRPr="00301C11">
        <w:rPr>
          <w:rStyle w:val="FootnoteReference"/>
          <w:rFonts w:asciiTheme="minorHAnsi" w:hAnsiTheme="minorHAnsi" w:cstheme="minorHAnsi"/>
          <w:sz w:val="23"/>
          <w:szCs w:val="23"/>
        </w:rPr>
        <w:footnoteReference w:id="26"/>
      </w:r>
      <w:r w:rsidR="00BB6E8D" w:rsidRPr="00301C11">
        <w:rPr>
          <w:rFonts w:asciiTheme="minorHAnsi" w:hAnsiTheme="minorHAnsi" w:cstheme="minorHAnsi"/>
          <w:sz w:val="23"/>
          <w:szCs w:val="23"/>
        </w:rPr>
        <w:t xml:space="preserve"> L</w:t>
      </w:r>
      <w:r w:rsidR="00175696" w:rsidRPr="00301C11">
        <w:rPr>
          <w:rFonts w:asciiTheme="minorHAnsi" w:hAnsiTheme="minorHAnsi" w:cstheme="minorHAnsi"/>
          <w:sz w:val="23"/>
          <w:szCs w:val="23"/>
        </w:rPr>
        <w:t>egislative amendments in Hungary in 2011 and 2013 remove</w:t>
      </w:r>
      <w:r w:rsidR="005A542B" w:rsidRPr="00301C11">
        <w:rPr>
          <w:rFonts w:asciiTheme="minorHAnsi" w:hAnsiTheme="minorHAnsi" w:cstheme="minorHAnsi"/>
          <w:sz w:val="23"/>
          <w:szCs w:val="23"/>
        </w:rPr>
        <w:t>d</w:t>
      </w:r>
      <w:r w:rsidR="00175696" w:rsidRPr="00301C11">
        <w:rPr>
          <w:rFonts w:asciiTheme="minorHAnsi" w:hAnsiTheme="minorHAnsi" w:cstheme="minorHAnsi"/>
          <w:sz w:val="23"/>
          <w:szCs w:val="23"/>
        </w:rPr>
        <w:t xml:space="preserve"> the previous blanket and automatic disenfranchisement of people placed under guardianship</w:t>
      </w:r>
      <w:r w:rsidR="004F5191" w:rsidRPr="00301C11">
        <w:rPr>
          <w:rFonts w:asciiTheme="minorHAnsi" w:hAnsiTheme="minorHAnsi" w:cstheme="minorHAnsi"/>
          <w:sz w:val="23"/>
          <w:szCs w:val="23"/>
        </w:rPr>
        <w:t>.</w:t>
      </w:r>
      <w:r w:rsidR="00175696" w:rsidRPr="00301C11">
        <w:rPr>
          <w:rStyle w:val="FootnoteReference"/>
          <w:rFonts w:asciiTheme="minorHAnsi" w:hAnsiTheme="minorHAnsi" w:cstheme="minorHAnsi"/>
          <w:sz w:val="23"/>
          <w:szCs w:val="23"/>
        </w:rPr>
        <w:footnoteReference w:id="27"/>
      </w:r>
      <w:r w:rsidR="004F5191" w:rsidRPr="00301C11">
        <w:rPr>
          <w:rFonts w:asciiTheme="minorHAnsi" w:hAnsiTheme="minorHAnsi" w:cstheme="minorHAnsi"/>
          <w:sz w:val="23"/>
          <w:szCs w:val="23"/>
        </w:rPr>
        <w:t xml:space="preserve"> </w:t>
      </w:r>
      <w:r w:rsidR="00175696" w:rsidRPr="00301C11">
        <w:rPr>
          <w:rFonts w:asciiTheme="minorHAnsi" w:hAnsiTheme="minorHAnsi" w:cstheme="minorHAnsi"/>
          <w:sz w:val="23"/>
          <w:szCs w:val="23"/>
        </w:rPr>
        <w:t>The</w:t>
      </w:r>
      <w:r w:rsidR="00B46F42" w:rsidRPr="00301C11">
        <w:rPr>
          <w:rFonts w:asciiTheme="minorHAnsi" w:hAnsiTheme="minorHAnsi" w:cstheme="minorHAnsi"/>
          <w:sz w:val="23"/>
          <w:szCs w:val="23"/>
        </w:rPr>
        <w:t xml:space="preserve"> Government </w:t>
      </w:r>
      <w:r w:rsidR="00175696" w:rsidRPr="00301C11">
        <w:rPr>
          <w:rFonts w:asciiTheme="minorHAnsi" w:hAnsiTheme="minorHAnsi" w:cstheme="minorHAnsi"/>
          <w:sz w:val="23"/>
          <w:szCs w:val="23"/>
        </w:rPr>
        <w:t>justified these amendments as ensuring</w:t>
      </w:r>
      <w:r w:rsidR="00B46F42" w:rsidRPr="00301C11">
        <w:rPr>
          <w:rFonts w:asciiTheme="minorHAnsi" w:hAnsiTheme="minorHAnsi" w:cstheme="minorHAnsi"/>
          <w:sz w:val="23"/>
          <w:szCs w:val="23"/>
        </w:rPr>
        <w:t xml:space="preserve"> better compliance with the CRPD a</w:t>
      </w:r>
      <w:r w:rsidR="00175696" w:rsidRPr="00301C11">
        <w:rPr>
          <w:rFonts w:asciiTheme="minorHAnsi" w:hAnsiTheme="minorHAnsi" w:cstheme="minorHAnsi"/>
          <w:sz w:val="23"/>
          <w:szCs w:val="23"/>
        </w:rPr>
        <w:t xml:space="preserve">s well as with </w:t>
      </w:r>
      <w:r w:rsidR="00B46F42" w:rsidRPr="00301C11">
        <w:rPr>
          <w:rFonts w:asciiTheme="minorHAnsi" w:hAnsiTheme="minorHAnsi" w:cstheme="minorHAnsi"/>
          <w:sz w:val="23"/>
          <w:szCs w:val="23"/>
        </w:rPr>
        <w:t xml:space="preserve">the judgment of the </w:t>
      </w:r>
      <w:r w:rsidR="00175696" w:rsidRPr="00301C11">
        <w:rPr>
          <w:rFonts w:asciiTheme="minorHAnsi" w:hAnsiTheme="minorHAnsi" w:cstheme="minorHAnsi"/>
          <w:sz w:val="23"/>
          <w:szCs w:val="23"/>
        </w:rPr>
        <w:t>Court in</w:t>
      </w:r>
      <w:r w:rsidR="00B46F42" w:rsidRPr="00301C11">
        <w:rPr>
          <w:rFonts w:asciiTheme="minorHAnsi" w:hAnsiTheme="minorHAnsi" w:cstheme="minorHAnsi"/>
          <w:sz w:val="23"/>
          <w:szCs w:val="23"/>
        </w:rPr>
        <w:t xml:space="preserve"> </w:t>
      </w:r>
      <w:proofErr w:type="spellStart"/>
      <w:r w:rsidR="00B46F42" w:rsidRPr="00301C11">
        <w:rPr>
          <w:rFonts w:asciiTheme="minorHAnsi" w:hAnsiTheme="minorHAnsi" w:cstheme="minorHAnsi"/>
          <w:i/>
          <w:iCs/>
          <w:sz w:val="23"/>
          <w:szCs w:val="23"/>
        </w:rPr>
        <w:t>Alajos</w:t>
      </w:r>
      <w:proofErr w:type="spellEnd"/>
      <w:r w:rsidR="00B46F42" w:rsidRPr="00301C11">
        <w:rPr>
          <w:rFonts w:asciiTheme="minorHAnsi" w:hAnsiTheme="minorHAnsi" w:cstheme="minorHAnsi"/>
          <w:i/>
          <w:iCs/>
          <w:sz w:val="23"/>
          <w:szCs w:val="23"/>
        </w:rPr>
        <w:t xml:space="preserve"> Kiss v. Hungary.</w:t>
      </w:r>
      <w:r w:rsidR="00175696" w:rsidRPr="00301C11">
        <w:rPr>
          <w:rStyle w:val="FootnoteReference"/>
          <w:rFonts w:asciiTheme="minorHAnsi" w:hAnsiTheme="minorHAnsi" w:cstheme="minorHAnsi"/>
          <w:sz w:val="23"/>
          <w:szCs w:val="23"/>
        </w:rPr>
        <w:t xml:space="preserve"> </w:t>
      </w:r>
      <w:r w:rsidR="00175696" w:rsidRPr="00301C11">
        <w:rPr>
          <w:rStyle w:val="FootnoteReference"/>
          <w:rFonts w:asciiTheme="minorHAnsi" w:hAnsiTheme="minorHAnsi" w:cstheme="minorHAnsi"/>
          <w:sz w:val="23"/>
          <w:szCs w:val="23"/>
        </w:rPr>
        <w:footnoteReference w:id="28"/>
      </w:r>
      <w:r w:rsidR="00CE1434" w:rsidRPr="00301C11">
        <w:rPr>
          <w:rFonts w:asciiTheme="minorHAnsi" w:hAnsiTheme="minorHAnsi" w:cstheme="minorHAnsi"/>
          <w:i/>
          <w:iCs/>
          <w:sz w:val="23"/>
          <w:szCs w:val="23"/>
        </w:rPr>
        <w:t xml:space="preserve"> </w:t>
      </w:r>
      <w:r w:rsidR="005A542B" w:rsidRPr="00301C11">
        <w:rPr>
          <w:rFonts w:asciiTheme="minorHAnsi" w:hAnsiTheme="minorHAnsi" w:cstheme="minorHAnsi"/>
          <w:sz w:val="23"/>
          <w:szCs w:val="23"/>
        </w:rPr>
        <w:t>Although not fully guaranteeing the right to vote of people with disabilities in all circumstances and w</w:t>
      </w:r>
      <w:r w:rsidR="00175696" w:rsidRPr="00301C11">
        <w:rPr>
          <w:rFonts w:asciiTheme="minorHAnsi" w:hAnsiTheme="minorHAnsi" w:cstheme="minorHAnsi"/>
          <w:sz w:val="23"/>
          <w:szCs w:val="23"/>
        </w:rPr>
        <w:t xml:space="preserve">hile the CRPD Committee </w:t>
      </w:r>
      <w:r w:rsidR="00CE1434" w:rsidRPr="00301C11">
        <w:rPr>
          <w:rFonts w:asciiTheme="minorHAnsi" w:hAnsiTheme="minorHAnsi" w:cstheme="minorHAnsi"/>
          <w:sz w:val="23"/>
          <w:szCs w:val="23"/>
        </w:rPr>
        <w:t xml:space="preserve">has </w:t>
      </w:r>
      <w:r w:rsidR="00175696" w:rsidRPr="00301C11">
        <w:rPr>
          <w:rFonts w:asciiTheme="minorHAnsi" w:hAnsiTheme="minorHAnsi" w:cstheme="minorHAnsi"/>
          <w:sz w:val="23"/>
          <w:szCs w:val="23"/>
        </w:rPr>
        <w:t xml:space="preserve">continued to </w:t>
      </w:r>
      <w:r w:rsidR="0000099D" w:rsidRPr="00301C11">
        <w:rPr>
          <w:rFonts w:asciiTheme="minorHAnsi" w:hAnsiTheme="minorHAnsi" w:cstheme="minorHAnsi"/>
          <w:sz w:val="23"/>
          <w:szCs w:val="23"/>
        </w:rPr>
        <w:t xml:space="preserve">express concerns </w:t>
      </w:r>
      <w:r w:rsidR="00175696" w:rsidRPr="00301C11">
        <w:rPr>
          <w:rFonts w:asciiTheme="minorHAnsi" w:hAnsiTheme="minorHAnsi" w:cstheme="minorHAnsi"/>
          <w:sz w:val="23"/>
          <w:szCs w:val="23"/>
        </w:rPr>
        <w:t>that the legislation allows for denial of the right to vote on the basis of a decision by a judg</w:t>
      </w:r>
      <w:r w:rsidR="00CE1434" w:rsidRPr="00301C11">
        <w:rPr>
          <w:rFonts w:asciiTheme="minorHAnsi" w:hAnsiTheme="minorHAnsi" w:cstheme="minorHAnsi"/>
          <w:sz w:val="23"/>
          <w:szCs w:val="23"/>
        </w:rPr>
        <w:t>e</w:t>
      </w:r>
      <w:r w:rsidR="005A542B" w:rsidRPr="00301C11">
        <w:rPr>
          <w:rFonts w:asciiTheme="minorHAnsi" w:hAnsiTheme="minorHAnsi" w:cstheme="minorHAnsi"/>
          <w:sz w:val="23"/>
          <w:szCs w:val="23"/>
        </w:rPr>
        <w:t>, the legislation is a</w:t>
      </w:r>
      <w:r w:rsidR="004F0C8B" w:rsidRPr="00301C11">
        <w:rPr>
          <w:rFonts w:asciiTheme="minorHAnsi" w:hAnsiTheme="minorHAnsi" w:cstheme="minorHAnsi"/>
          <w:i/>
          <w:iCs/>
          <w:sz w:val="23"/>
          <w:szCs w:val="23"/>
        </w:rPr>
        <w:t xml:space="preserve"> </w:t>
      </w:r>
      <w:r w:rsidR="005A542B" w:rsidRPr="00301C11">
        <w:rPr>
          <w:rFonts w:asciiTheme="minorHAnsi" w:hAnsiTheme="minorHAnsi" w:cstheme="minorHAnsi"/>
          <w:sz w:val="23"/>
          <w:szCs w:val="23"/>
        </w:rPr>
        <w:t>step away from disenfranchisement on the basis of disability.</w:t>
      </w:r>
      <w:r w:rsidR="00F322EA" w:rsidRPr="00301C11">
        <w:rPr>
          <w:rStyle w:val="FootnoteReference"/>
          <w:rFonts w:asciiTheme="minorHAnsi" w:hAnsiTheme="minorHAnsi" w:cstheme="minorHAnsi"/>
          <w:sz w:val="23"/>
          <w:szCs w:val="23"/>
        </w:rPr>
        <w:footnoteReference w:id="29"/>
      </w:r>
      <w:r w:rsidR="008B4B84" w:rsidRPr="00301C11">
        <w:rPr>
          <w:rFonts w:asciiTheme="minorHAnsi" w:hAnsiTheme="minorHAnsi" w:cstheme="minorHAnsi"/>
          <w:sz w:val="23"/>
          <w:szCs w:val="23"/>
        </w:rPr>
        <w:t xml:space="preserve"> </w:t>
      </w:r>
      <w:r w:rsidR="00D90C44" w:rsidRPr="00301C11">
        <w:rPr>
          <w:rFonts w:asciiTheme="minorHAnsi" w:hAnsiTheme="minorHAnsi" w:cstheme="minorHAnsi"/>
          <w:sz w:val="23"/>
          <w:szCs w:val="23"/>
        </w:rPr>
        <w:t xml:space="preserve">In the Czech Republic, </w:t>
      </w:r>
      <w:r w:rsidR="00AF7710" w:rsidRPr="00301C11">
        <w:rPr>
          <w:rFonts w:asciiTheme="minorHAnsi" w:hAnsiTheme="minorHAnsi" w:cstheme="minorHAnsi"/>
          <w:sz w:val="23"/>
          <w:szCs w:val="23"/>
        </w:rPr>
        <w:t xml:space="preserve">a </w:t>
      </w:r>
      <w:r w:rsidR="00612EB5" w:rsidRPr="00301C11">
        <w:rPr>
          <w:rFonts w:asciiTheme="minorHAnsi" w:hAnsiTheme="minorHAnsi" w:cstheme="minorHAnsi"/>
          <w:sz w:val="23"/>
          <w:szCs w:val="23"/>
        </w:rPr>
        <w:t xml:space="preserve">2010 </w:t>
      </w:r>
      <w:r w:rsidR="00D90C44" w:rsidRPr="00301C11">
        <w:rPr>
          <w:rFonts w:asciiTheme="minorHAnsi" w:hAnsiTheme="minorHAnsi" w:cstheme="minorHAnsi"/>
          <w:sz w:val="23"/>
          <w:szCs w:val="23"/>
        </w:rPr>
        <w:t>Constitutional Court decision</w:t>
      </w:r>
      <w:r w:rsidR="00473A47" w:rsidRPr="00301C11">
        <w:rPr>
          <w:rStyle w:val="FootnoteReference"/>
          <w:rFonts w:asciiTheme="minorHAnsi" w:hAnsiTheme="minorHAnsi" w:cstheme="minorHAnsi"/>
          <w:sz w:val="23"/>
          <w:szCs w:val="23"/>
        </w:rPr>
        <w:footnoteReference w:id="30"/>
      </w:r>
      <w:r w:rsidR="00612EB5" w:rsidRPr="00301C11">
        <w:rPr>
          <w:rFonts w:asciiTheme="minorHAnsi" w:hAnsiTheme="minorHAnsi" w:cstheme="minorHAnsi"/>
          <w:sz w:val="23"/>
          <w:szCs w:val="23"/>
        </w:rPr>
        <w:t xml:space="preserve"> removed the blanket, automatic restriction on voting rights for people with disabilities under guardianship</w:t>
      </w:r>
      <w:r w:rsidR="00473A47" w:rsidRPr="00301C11">
        <w:rPr>
          <w:rFonts w:asciiTheme="minorHAnsi" w:hAnsiTheme="minorHAnsi" w:cstheme="minorHAnsi"/>
          <w:sz w:val="23"/>
          <w:szCs w:val="23"/>
        </w:rPr>
        <w:t xml:space="preserve"> </w:t>
      </w:r>
      <w:r w:rsidR="00D90C44" w:rsidRPr="00301C11">
        <w:rPr>
          <w:rFonts w:asciiTheme="minorHAnsi" w:hAnsiTheme="minorHAnsi" w:cstheme="minorHAnsi"/>
          <w:sz w:val="23"/>
          <w:szCs w:val="23"/>
        </w:rPr>
        <w:t xml:space="preserve">and legislative amendments to the Civil Code and the </w:t>
      </w:r>
      <w:r w:rsidR="00612EB5" w:rsidRPr="00301C11">
        <w:rPr>
          <w:rFonts w:asciiTheme="minorHAnsi" w:hAnsiTheme="minorHAnsi" w:cstheme="minorHAnsi"/>
          <w:sz w:val="23"/>
          <w:szCs w:val="23"/>
        </w:rPr>
        <w:t>E</w:t>
      </w:r>
      <w:r w:rsidR="00D90C44" w:rsidRPr="00301C11">
        <w:rPr>
          <w:rFonts w:asciiTheme="minorHAnsi" w:hAnsiTheme="minorHAnsi" w:cstheme="minorHAnsi"/>
          <w:sz w:val="23"/>
          <w:szCs w:val="23"/>
        </w:rPr>
        <w:t xml:space="preserve">lectoral </w:t>
      </w:r>
      <w:r w:rsidR="00612EB5" w:rsidRPr="00301C11">
        <w:rPr>
          <w:rFonts w:asciiTheme="minorHAnsi" w:hAnsiTheme="minorHAnsi" w:cstheme="minorHAnsi"/>
          <w:sz w:val="23"/>
          <w:szCs w:val="23"/>
        </w:rPr>
        <w:t>L</w:t>
      </w:r>
      <w:r w:rsidR="00D90C44" w:rsidRPr="00301C11">
        <w:rPr>
          <w:rFonts w:asciiTheme="minorHAnsi" w:hAnsiTheme="minorHAnsi" w:cstheme="minorHAnsi"/>
          <w:sz w:val="23"/>
          <w:szCs w:val="23"/>
        </w:rPr>
        <w:t>aw in 2014</w:t>
      </w:r>
      <w:r w:rsidR="002B5F37" w:rsidRPr="00301C11">
        <w:rPr>
          <w:rFonts w:asciiTheme="minorHAnsi" w:hAnsiTheme="minorHAnsi" w:cstheme="minorHAnsi"/>
          <w:sz w:val="23"/>
          <w:szCs w:val="23"/>
        </w:rPr>
        <w:t xml:space="preserve"> </w:t>
      </w:r>
      <w:r w:rsidR="00612EB5" w:rsidRPr="00301C11">
        <w:rPr>
          <w:rFonts w:asciiTheme="minorHAnsi" w:hAnsiTheme="minorHAnsi" w:cstheme="minorHAnsi"/>
          <w:sz w:val="23"/>
          <w:szCs w:val="23"/>
        </w:rPr>
        <w:t>abolished</w:t>
      </w:r>
      <w:r w:rsidR="002B5F37" w:rsidRPr="00301C11">
        <w:rPr>
          <w:rFonts w:asciiTheme="minorHAnsi" w:hAnsiTheme="minorHAnsi" w:cstheme="minorHAnsi"/>
          <w:sz w:val="23"/>
          <w:szCs w:val="23"/>
        </w:rPr>
        <w:t xml:space="preserve"> full deprivation of legal capacity</w:t>
      </w:r>
      <w:r w:rsidR="00612EB5" w:rsidRPr="00301C11">
        <w:rPr>
          <w:rFonts w:asciiTheme="minorHAnsi" w:hAnsiTheme="minorHAnsi" w:cstheme="minorHAnsi"/>
          <w:sz w:val="23"/>
          <w:szCs w:val="23"/>
        </w:rPr>
        <w:t>.</w:t>
      </w:r>
      <w:r w:rsidR="00AF7710" w:rsidRPr="00301C11">
        <w:rPr>
          <w:rStyle w:val="FootnoteReference"/>
          <w:rFonts w:asciiTheme="minorHAnsi" w:hAnsiTheme="minorHAnsi" w:cstheme="minorHAnsi"/>
          <w:sz w:val="23"/>
          <w:szCs w:val="23"/>
        </w:rPr>
        <w:footnoteReference w:id="31"/>
      </w:r>
      <w:r w:rsidR="00612EB5" w:rsidRPr="00301C11">
        <w:rPr>
          <w:rFonts w:asciiTheme="minorHAnsi" w:hAnsiTheme="minorHAnsi" w:cstheme="minorHAnsi"/>
          <w:sz w:val="23"/>
          <w:szCs w:val="23"/>
        </w:rPr>
        <w:t xml:space="preserve"> In France, since 2009, a presumption against the right to vote for people under guardianship was reversed and can only be rebutted by an express judicial decision.</w:t>
      </w:r>
      <w:r w:rsidR="00612EB5" w:rsidRPr="00301C11">
        <w:rPr>
          <w:rStyle w:val="FootnoteReference"/>
          <w:rFonts w:asciiTheme="minorHAnsi" w:hAnsiTheme="minorHAnsi" w:cstheme="minorHAnsi"/>
          <w:sz w:val="23"/>
          <w:szCs w:val="23"/>
        </w:rPr>
        <w:footnoteReference w:id="32"/>
      </w:r>
      <w:r w:rsidR="00612EB5" w:rsidRPr="00301C11">
        <w:rPr>
          <w:rFonts w:asciiTheme="minorHAnsi" w:hAnsiTheme="minorHAnsi" w:cstheme="minorHAnsi"/>
          <w:sz w:val="23"/>
          <w:szCs w:val="23"/>
        </w:rPr>
        <w:t xml:space="preserve"> </w:t>
      </w:r>
      <w:r w:rsidR="005A542B" w:rsidRPr="00301C11">
        <w:rPr>
          <w:rFonts w:asciiTheme="minorHAnsi" w:hAnsiTheme="minorHAnsi" w:cstheme="minorHAnsi"/>
          <w:sz w:val="23"/>
          <w:szCs w:val="23"/>
        </w:rPr>
        <w:t xml:space="preserve">In Croatia, the </w:t>
      </w:r>
      <w:r w:rsidR="009F2E54" w:rsidRPr="00301C11">
        <w:rPr>
          <w:rFonts w:asciiTheme="minorHAnsi" w:hAnsiTheme="minorHAnsi" w:cstheme="minorHAnsi"/>
          <w:sz w:val="23"/>
          <w:szCs w:val="23"/>
        </w:rPr>
        <w:t>14 December 2012 Register of Vo</w:t>
      </w:r>
      <w:r w:rsidR="6B3CA9FC" w:rsidRPr="00301C11">
        <w:rPr>
          <w:rFonts w:asciiTheme="minorHAnsi" w:hAnsiTheme="minorHAnsi" w:cstheme="minorHAnsi"/>
          <w:sz w:val="23"/>
          <w:szCs w:val="23"/>
        </w:rPr>
        <w:t>ters Act</w:t>
      </w:r>
      <w:r w:rsidR="005A542B" w:rsidRPr="00301C11">
        <w:rPr>
          <w:rFonts w:asciiTheme="minorHAnsi" w:hAnsiTheme="minorHAnsi" w:cstheme="minorHAnsi"/>
          <w:sz w:val="23"/>
          <w:szCs w:val="23"/>
        </w:rPr>
        <w:t xml:space="preserve"> </w:t>
      </w:r>
      <w:r w:rsidR="6B3CA9FC" w:rsidRPr="00301C11">
        <w:rPr>
          <w:rFonts w:asciiTheme="minorHAnsi" w:hAnsiTheme="minorHAnsi" w:cstheme="minorHAnsi"/>
          <w:sz w:val="23"/>
          <w:szCs w:val="23"/>
        </w:rPr>
        <w:t>guarantee</w:t>
      </w:r>
      <w:r w:rsidR="005A542B" w:rsidRPr="00301C11">
        <w:rPr>
          <w:rFonts w:asciiTheme="minorHAnsi" w:hAnsiTheme="minorHAnsi" w:cstheme="minorHAnsi"/>
          <w:sz w:val="23"/>
          <w:szCs w:val="23"/>
        </w:rPr>
        <w:t xml:space="preserve">s </w:t>
      </w:r>
      <w:r w:rsidR="6B3CA9FC" w:rsidRPr="00301C11">
        <w:rPr>
          <w:rFonts w:asciiTheme="minorHAnsi" w:hAnsiTheme="minorHAnsi" w:cstheme="minorHAnsi"/>
          <w:sz w:val="23"/>
          <w:szCs w:val="23"/>
        </w:rPr>
        <w:t xml:space="preserve">that people </w:t>
      </w:r>
      <w:r w:rsidR="6B3CA9FC" w:rsidRPr="00301C11">
        <w:rPr>
          <w:rFonts w:asciiTheme="minorHAnsi" w:hAnsiTheme="minorHAnsi" w:cstheme="minorHAnsi"/>
          <w:sz w:val="23"/>
          <w:szCs w:val="23"/>
        </w:rPr>
        <w:lastRenderedPageBreak/>
        <w:t xml:space="preserve">under guardianship </w:t>
      </w:r>
      <w:r w:rsidR="00BB6E8D" w:rsidRPr="00301C11">
        <w:rPr>
          <w:rFonts w:asciiTheme="minorHAnsi" w:hAnsiTheme="minorHAnsi" w:cstheme="minorHAnsi"/>
          <w:sz w:val="23"/>
          <w:szCs w:val="23"/>
        </w:rPr>
        <w:t>–</w:t>
      </w:r>
      <w:r w:rsidR="6B3CA9FC" w:rsidRPr="00301C11">
        <w:rPr>
          <w:rFonts w:asciiTheme="minorHAnsi" w:hAnsiTheme="minorHAnsi" w:cstheme="minorHAnsi"/>
          <w:sz w:val="23"/>
          <w:szCs w:val="23"/>
        </w:rPr>
        <w:t xml:space="preserve"> who were previously excluded from the voting register and therefore not allowed to vote </w:t>
      </w:r>
      <w:r w:rsidR="005A542B" w:rsidRPr="00301C11">
        <w:rPr>
          <w:rFonts w:asciiTheme="minorHAnsi" w:hAnsiTheme="minorHAnsi" w:cstheme="minorHAnsi"/>
          <w:sz w:val="23"/>
          <w:szCs w:val="23"/>
        </w:rPr>
        <w:t>–</w:t>
      </w:r>
      <w:r w:rsidR="6B3CA9FC" w:rsidRPr="00301C11">
        <w:rPr>
          <w:rFonts w:asciiTheme="minorHAnsi" w:hAnsiTheme="minorHAnsi" w:cstheme="minorHAnsi"/>
          <w:sz w:val="23"/>
          <w:szCs w:val="23"/>
        </w:rPr>
        <w:t xml:space="preserve"> </w:t>
      </w:r>
      <w:r w:rsidR="005A542B" w:rsidRPr="00301C11">
        <w:rPr>
          <w:rFonts w:asciiTheme="minorHAnsi" w:hAnsiTheme="minorHAnsi" w:cstheme="minorHAnsi"/>
          <w:sz w:val="23"/>
          <w:szCs w:val="23"/>
        </w:rPr>
        <w:t>are fully entitled to exercise</w:t>
      </w:r>
      <w:r w:rsidR="6B3CA9FC" w:rsidRPr="00301C11">
        <w:rPr>
          <w:rFonts w:asciiTheme="minorHAnsi" w:hAnsiTheme="minorHAnsi" w:cstheme="minorHAnsi"/>
          <w:sz w:val="23"/>
          <w:szCs w:val="23"/>
        </w:rPr>
        <w:t xml:space="preserve"> their right to vote</w:t>
      </w:r>
      <w:r w:rsidR="005A542B" w:rsidRPr="00301C11">
        <w:rPr>
          <w:rFonts w:asciiTheme="minorHAnsi" w:hAnsiTheme="minorHAnsi" w:cstheme="minorHAnsi"/>
          <w:sz w:val="23"/>
          <w:szCs w:val="23"/>
        </w:rPr>
        <w:t xml:space="preserve"> on a basis of equality with others</w:t>
      </w:r>
      <w:r w:rsidR="6B3CA9FC" w:rsidRPr="00301C11">
        <w:rPr>
          <w:rFonts w:asciiTheme="minorHAnsi" w:hAnsiTheme="minorHAnsi" w:cstheme="minorHAnsi"/>
          <w:sz w:val="23"/>
          <w:szCs w:val="23"/>
        </w:rPr>
        <w:t>.</w:t>
      </w:r>
      <w:r w:rsidR="00B449B9" w:rsidRPr="00301C11">
        <w:rPr>
          <w:rStyle w:val="FootnoteReference"/>
          <w:rFonts w:asciiTheme="minorHAnsi" w:hAnsiTheme="minorHAnsi" w:cstheme="minorHAnsi"/>
          <w:sz w:val="23"/>
          <w:szCs w:val="23"/>
        </w:rPr>
        <w:footnoteReference w:id="33"/>
      </w:r>
      <w:r w:rsidR="6B3CA9FC" w:rsidRPr="00301C11">
        <w:rPr>
          <w:rFonts w:asciiTheme="minorHAnsi" w:hAnsiTheme="minorHAnsi" w:cstheme="minorHAnsi"/>
          <w:sz w:val="23"/>
          <w:szCs w:val="23"/>
        </w:rPr>
        <w:t xml:space="preserve"> </w:t>
      </w:r>
      <w:r w:rsidR="005A542B" w:rsidRPr="00301C11">
        <w:rPr>
          <w:rFonts w:asciiTheme="minorHAnsi" w:hAnsiTheme="minorHAnsi" w:cstheme="minorHAnsi"/>
          <w:sz w:val="23"/>
          <w:szCs w:val="23"/>
        </w:rPr>
        <w:t xml:space="preserve">Prior to adoption of the current text, a previous </w:t>
      </w:r>
      <w:r w:rsidR="6B3CA9FC" w:rsidRPr="00301C11">
        <w:rPr>
          <w:rFonts w:asciiTheme="minorHAnsi" w:hAnsiTheme="minorHAnsi" w:cstheme="minorHAnsi"/>
          <w:sz w:val="23"/>
          <w:szCs w:val="23"/>
        </w:rPr>
        <w:t xml:space="preserve">draft proposal </w:t>
      </w:r>
      <w:r w:rsidR="00B449B9" w:rsidRPr="00301C11">
        <w:rPr>
          <w:rFonts w:asciiTheme="minorHAnsi" w:hAnsiTheme="minorHAnsi" w:cstheme="minorHAnsi"/>
          <w:sz w:val="23"/>
          <w:szCs w:val="23"/>
        </w:rPr>
        <w:t xml:space="preserve">envisioned the introduction of an individualised assessment of voting capacity </w:t>
      </w:r>
      <w:r w:rsidR="005A542B" w:rsidRPr="00301C11">
        <w:rPr>
          <w:rFonts w:asciiTheme="minorHAnsi" w:hAnsiTheme="minorHAnsi" w:cstheme="minorHAnsi"/>
          <w:sz w:val="23"/>
          <w:szCs w:val="23"/>
        </w:rPr>
        <w:t>by the courts</w:t>
      </w:r>
      <w:r w:rsidR="00B449B9" w:rsidRPr="00301C11">
        <w:rPr>
          <w:rFonts w:asciiTheme="minorHAnsi" w:hAnsiTheme="minorHAnsi" w:cstheme="minorHAnsi"/>
          <w:sz w:val="23"/>
          <w:szCs w:val="23"/>
        </w:rPr>
        <w:t>.</w:t>
      </w:r>
      <w:r w:rsidR="00B449B9" w:rsidRPr="00301C11">
        <w:rPr>
          <w:rStyle w:val="FootnoteReference"/>
          <w:rFonts w:asciiTheme="minorHAnsi" w:hAnsiTheme="minorHAnsi" w:cstheme="minorHAnsi"/>
          <w:sz w:val="23"/>
          <w:szCs w:val="23"/>
        </w:rPr>
        <w:footnoteReference w:id="34"/>
      </w:r>
      <w:r w:rsidR="00B449B9" w:rsidRPr="00301C11">
        <w:rPr>
          <w:rFonts w:asciiTheme="minorHAnsi" w:hAnsiTheme="minorHAnsi" w:cstheme="minorHAnsi"/>
          <w:sz w:val="23"/>
          <w:szCs w:val="23"/>
        </w:rPr>
        <w:t xml:space="preserve"> However, </w:t>
      </w:r>
      <w:r w:rsidR="005A542B" w:rsidRPr="00301C11">
        <w:rPr>
          <w:rFonts w:asciiTheme="minorHAnsi" w:hAnsiTheme="minorHAnsi" w:cstheme="minorHAnsi"/>
          <w:sz w:val="23"/>
          <w:szCs w:val="23"/>
        </w:rPr>
        <w:t xml:space="preserve">this was excluded from the final version which contains </w:t>
      </w:r>
      <w:r w:rsidR="00B9097E" w:rsidRPr="00301C11">
        <w:rPr>
          <w:rFonts w:asciiTheme="minorHAnsi" w:hAnsiTheme="minorHAnsi" w:cstheme="minorHAnsi"/>
          <w:sz w:val="23"/>
          <w:szCs w:val="23"/>
        </w:rPr>
        <w:t>no restrictions on the right to vote of people with disabilities.</w:t>
      </w:r>
      <w:r w:rsidR="00B9097E" w:rsidRPr="00301C11">
        <w:rPr>
          <w:rStyle w:val="FootnoteReference"/>
          <w:rFonts w:asciiTheme="minorHAnsi" w:hAnsiTheme="minorHAnsi" w:cstheme="minorHAnsi"/>
          <w:sz w:val="23"/>
          <w:szCs w:val="23"/>
        </w:rPr>
        <w:footnoteReference w:id="35"/>
      </w:r>
      <w:r w:rsidR="00B449B9" w:rsidRPr="00301C11">
        <w:rPr>
          <w:rFonts w:asciiTheme="minorHAnsi" w:hAnsiTheme="minorHAnsi" w:cstheme="minorHAnsi"/>
          <w:sz w:val="23"/>
          <w:szCs w:val="23"/>
        </w:rPr>
        <w:t xml:space="preserve">   </w:t>
      </w:r>
    </w:p>
    <w:p w14:paraId="43D37F90" w14:textId="77777777" w:rsidR="005A542B" w:rsidRPr="00301C11" w:rsidRDefault="005A542B" w:rsidP="00E2757C">
      <w:pPr>
        <w:pStyle w:val="ListParagraph"/>
        <w:spacing w:line="240" w:lineRule="auto"/>
        <w:ind w:left="360" w:hanging="360"/>
        <w:jc w:val="both"/>
        <w:rPr>
          <w:rFonts w:asciiTheme="minorHAnsi" w:hAnsiTheme="minorHAnsi" w:cstheme="minorHAnsi"/>
          <w:sz w:val="23"/>
          <w:szCs w:val="23"/>
        </w:rPr>
      </w:pPr>
    </w:p>
    <w:p w14:paraId="19338DF8" w14:textId="79F4DBC1" w:rsidR="009F2E54" w:rsidRPr="00301C11" w:rsidRDefault="009F2E54" w:rsidP="00E2757C">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rPr>
        <w:t xml:space="preserve">In Moldova, </w:t>
      </w:r>
      <w:r w:rsidR="00275D2A" w:rsidRPr="00301C11">
        <w:rPr>
          <w:rFonts w:asciiTheme="minorHAnsi" w:hAnsiTheme="minorHAnsi" w:cstheme="minorHAnsi"/>
          <w:sz w:val="23"/>
          <w:szCs w:val="23"/>
        </w:rPr>
        <w:t xml:space="preserve">May 2015 </w:t>
      </w:r>
      <w:r w:rsidRPr="00301C11">
        <w:rPr>
          <w:rFonts w:asciiTheme="minorHAnsi" w:hAnsiTheme="minorHAnsi" w:cstheme="minorHAnsi"/>
          <w:sz w:val="23"/>
          <w:szCs w:val="23"/>
        </w:rPr>
        <w:t xml:space="preserve">legislation </w:t>
      </w:r>
      <w:r w:rsidR="00275D2A" w:rsidRPr="00301C11">
        <w:rPr>
          <w:rFonts w:asciiTheme="minorHAnsi" w:hAnsiTheme="minorHAnsi" w:cstheme="minorHAnsi"/>
          <w:sz w:val="23"/>
          <w:szCs w:val="23"/>
        </w:rPr>
        <w:t>guarantee</w:t>
      </w:r>
      <w:r w:rsidR="00D264A5" w:rsidRPr="00301C11">
        <w:rPr>
          <w:rFonts w:asciiTheme="minorHAnsi" w:hAnsiTheme="minorHAnsi" w:cstheme="minorHAnsi"/>
          <w:sz w:val="23"/>
          <w:szCs w:val="23"/>
        </w:rPr>
        <w:t>s</w:t>
      </w:r>
      <w:r w:rsidR="00275D2A" w:rsidRPr="00301C11">
        <w:rPr>
          <w:rFonts w:asciiTheme="minorHAnsi" w:hAnsiTheme="minorHAnsi" w:cstheme="minorHAnsi"/>
          <w:sz w:val="23"/>
          <w:szCs w:val="23"/>
        </w:rPr>
        <w:t xml:space="preserve"> people deprived of legal capacity the right to vote</w:t>
      </w:r>
      <w:r w:rsidR="00053B41" w:rsidRPr="00301C11">
        <w:rPr>
          <w:rFonts w:asciiTheme="minorHAnsi" w:hAnsiTheme="minorHAnsi" w:cstheme="minorHAnsi"/>
          <w:sz w:val="23"/>
          <w:szCs w:val="23"/>
        </w:rPr>
        <w:t>, although it will not enter into force until promulgated by the President of the Republic</w:t>
      </w:r>
      <w:r w:rsidR="00D264A5" w:rsidRPr="00301C11">
        <w:rPr>
          <w:rFonts w:asciiTheme="minorHAnsi" w:hAnsiTheme="minorHAnsi" w:cstheme="minorHAnsi"/>
          <w:sz w:val="23"/>
          <w:szCs w:val="23"/>
        </w:rPr>
        <w:t>.</w:t>
      </w:r>
      <w:r w:rsidR="00053B41" w:rsidRPr="00301C11">
        <w:rPr>
          <w:rStyle w:val="FootnoteReference"/>
          <w:rFonts w:asciiTheme="minorHAnsi" w:hAnsiTheme="minorHAnsi" w:cstheme="minorHAnsi"/>
          <w:sz w:val="23"/>
          <w:szCs w:val="23"/>
        </w:rPr>
        <w:footnoteReference w:id="36"/>
      </w:r>
      <w:r w:rsidR="00D264A5" w:rsidRPr="00301C11">
        <w:rPr>
          <w:rFonts w:asciiTheme="minorHAnsi" w:hAnsiTheme="minorHAnsi" w:cstheme="minorHAnsi"/>
          <w:sz w:val="23"/>
          <w:szCs w:val="23"/>
        </w:rPr>
        <w:t xml:space="preserve"> </w:t>
      </w:r>
      <w:r w:rsidR="72B17112" w:rsidRPr="00301C11">
        <w:rPr>
          <w:rFonts w:asciiTheme="minorHAnsi" w:hAnsiTheme="minorHAnsi" w:cstheme="minorHAnsi"/>
          <w:sz w:val="23"/>
          <w:szCs w:val="23"/>
        </w:rPr>
        <w:t xml:space="preserve">In Bulgaria, a draft law on legislative amendments under Article 12 of the CRPD which was published </w:t>
      </w:r>
      <w:r w:rsidR="0093155D" w:rsidRPr="00301C11">
        <w:rPr>
          <w:rFonts w:asciiTheme="minorHAnsi" w:hAnsiTheme="minorHAnsi" w:cstheme="minorHAnsi"/>
          <w:sz w:val="23"/>
          <w:szCs w:val="23"/>
        </w:rPr>
        <w:t xml:space="preserve">for public discussion </w:t>
      </w:r>
      <w:r w:rsidR="72B17112" w:rsidRPr="00301C11">
        <w:rPr>
          <w:rFonts w:asciiTheme="minorHAnsi" w:hAnsiTheme="minorHAnsi" w:cstheme="minorHAnsi"/>
          <w:sz w:val="23"/>
          <w:szCs w:val="23"/>
        </w:rPr>
        <w:t xml:space="preserve">by the Ministry of Justice in May 2016 envisages the abolition of guardianship and the introduction of a new measure of “supported decision making”. It would ensure the right to vote of all people with mental disabilities and provide assistance and support to those who need it in the exercise </w:t>
      </w:r>
      <w:r w:rsidR="00A45A1B" w:rsidRPr="00301C11">
        <w:rPr>
          <w:rFonts w:asciiTheme="minorHAnsi" w:hAnsiTheme="minorHAnsi" w:cstheme="minorHAnsi"/>
          <w:sz w:val="23"/>
          <w:szCs w:val="23"/>
        </w:rPr>
        <w:t xml:space="preserve">of </w:t>
      </w:r>
      <w:r w:rsidR="72B17112" w:rsidRPr="00301C11">
        <w:rPr>
          <w:rFonts w:asciiTheme="minorHAnsi" w:hAnsiTheme="minorHAnsi" w:cstheme="minorHAnsi"/>
          <w:sz w:val="23"/>
          <w:szCs w:val="23"/>
        </w:rPr>
        <w:t xml:space="preserve">their right to vote. </w:t>
      </w:r>
    </w:p>
    <w:p w14:paraId="39F4F369" w14:textId="77777777" w:rsidR="00E719EC" w:rsidRPr="00301C11" w:rsidRDefault="00E719EC" w:rsidP="00E2757C">
      <w:pPr>
        <w:spacing w:line="240" w:lineRule="auto"/>
        <w:ind w:left="360" w:hanging="360"/>
        <w:jc w:val="both"/>
        <w:rPr>
          <w:rFonts w:asciiTheme="minorHAnsi" w:hAnsiTheme="minorHAnsi" w:cstheme="minorHAnsi"/>
          <w:sz w:val="23"/>
          <w:szCs w:val="23"/>
        </w:rPr>
      </w:pPr>
    </w:p>
    <w:p w14:paraId="21A41B5F" w14:textId="0FB50C28" w:rsidR="008B3550" w:rsidRPr="00301C11" w:rsidRDefault="72B17112" w:rsidP="00E2757C">
      <w:pPr>
        <w:spacing w:line="240" w:lineRule="auto"/>
        <w:jc w:val="both"/>
        <w:rPr>
          <w:rFonts w:asciiTheme="minorHAnsi" w:hAnsiTheme="minorHAnsi" w:cstheme="minorHAnsi"/>
          <w:b/>
          <w:bCs/>
          <w:sz w:val="23"/>
          <w:szCs w:val="23"/>
          <w:u w:val="single"/>
        </w:rPr>
      </w:pPr>
      <w:r w:rsidRPr="00301C11">
        <w:rPr>
          <w:rFonts w:asciiTheme="minorHAnsi" w:hAnsiTheme="minorHAnsi" w:cstheme="minorHAnsi"/>
          <w:b/>
          <w:bCs/>
          <w:sz w:val="23"/>
          <w:szCs w:val="23"/>
          <w:u w:val="single"/>
        </w:rPr>
        <w:t xml:space="preserve">Jurisprudence of the Court </w:t>
      </w:r>
    </w:p>
    <w:p w14:paraId="77EA6F41" w14:textId="77777777" w:rsidR="00D8368D" w:rsidRPr="00301C11" w:rsidRDefault="00D8368D" w:rsidP="00E2757C">
      <w:pPr>
        <w:spacing w:line="240" w:lineRule="auto"/>
        <w:ind w:left="360" w:hanging="360"/>
        <w:rPr>
          <w:rFonts w:asciiTheme="minorHAnsi" w:hAnsiTheme="minorHAnsi" w:cstheme="minorHAnsi"/>
          <w:bCs/>
          <w:sz w:val="23"/>
          <w:szCs w:val="23"/>
        </w:rPr>
      </w:pPr>
    </w:p>
    <w:p w14:paraId="77BAFE61" w14:textId="77777777" w:rsidR="00D8368D" w:rsidRPr="00301C11" w:rsidRDefault="00D8368D" w:rsidP="00E2757C">
      <w:pPr>
        <w:pStyle w:val="ListParagraph"/>
        <w:numPr>
          <w:ilvl w:val="0"/>
          <w:numId w:val="1"/>
        </w:numPr>
        <w:spacing w:line="240" w:lineRule="auto"/>
        <w:ind w:left="360"/>
        <w:jc w:val="both"/>
        <w:rPr>
          <w:rFonts w:asciiTheme="minorHAnsi" w:hAnsiTheme="minorHAnsi" w:cstheme="minorHAnsi"/>
          <w:vanish/>
          <w:sz w:val="23"/>
          <w:szCs w:val="23"/>
        </w:rPr>
      </w:pPr>
    </w:p>
    <w:p w14:paraId="5BBDD37C" w14:textId="77777777" w:rsidR="00D8368D" w:rsidRPr="00301C11" w:rsidRDefault="00D8368D" w:rsidP="00E2757C">
      <w:pPr>
        <w:pStyle w:val="ListParagraph"/>
        <w:numPr>
          <w:ilvl w:val="0"/>
          <w:numId w:val="1"/>
        </w:numPr>
        <w:spacing w:line="240" w:lineRule="auto"/>
        <w:ind w:left="360"/>
        <w:jc w:val="both"/>
        <w:rPr>
          <w:rFonts w:asciiTheme="minorHAnsi" w:hAnsiTheme="minorHAnsi" w:cstheme="minorHAnsi"/>
          <w:vanish/>
          <w:sz w:val="23"/>
          <w:szCs w:val="23"/>
        </w:rPr>
      </w:pPr>
    </w:p>
    <w:p w14:paraId="1C672CD1" w14:textId="77777777" w:rsidR="00D8368D" w:rsidRPr="00301C11" w:rsidRDefault="00D8368D" w:rsidP="00E2757C">
      <w:pPr>
        <w:pStyle w:val="ListParagraph"/>
        <w:numPr>
          <w:ilvl w:val="0"/>
          <w:numId w:val="1"/>
        </w:numPr>
        <w:spacing w:line="240" w:lineRule="auto"/>
        <w:ind w:left="360"/>
        <w:jc w:val="both"/>
        <w:rPr>
          <w:rFonts w:asciiTheme="minorHAnsi" w:hAnsiTheme="minorHAnsi" w:cstheme="minorHAnsi"/>
          <w:vanish/>
          <w:sz w:val="23"/>
          <w:szCs w:val="23"/>
        </w:rPr>
      </w:pPr>
    </w:p>
    <w:p w14:paraId="3D2F0F90" w14:textId="77777777" w:rsidR="00D8368D" w:rsidRPr="00301C11" w:rsidRDefault="00D8368D" w:rsidP="00E2757C">
      <w:pPr>
        <w:pStyle w:val="ListParagraph"/>
        <w:numPr>
          <w:ilvl w:val="0"/>
          <w:numId w:val="1"/>
        </w:numPr>
        <w:spacing w:line="240" w:lineRule="auto"/>
        <w:ind w:left="360"/>
        <w:jc w:val="both"/>
        <w:rPr>
          <w:rFonts w:asciiTheme="minorHAnsi" w:hAnsiTheme="minorHAnsi" w:cstheme="minorHAnsi"/>
          <w:vanish/>
          <w:sz w:val="23"/>
          <w:szCs w:val="23"/>
        </w:rPr>
      </w:pPr>
    </w:p>
    <w:p w14:paraId="5174E5A5" w14:textId="77777777" w:rsidR="00D8368D" w:rsidRPr="00301C11" w:rsidRDefault="00D8368D" w:rsidP="00E2757C">
      <w:pPr>
        <w:pStyle w:val="ListParagraph"/>
        <w:numPr>
          <w:ilvl w:val="0"/>
          <w:numId w:val="1"/>
        </w:numPr>
        <w:spacing w:line="240" w:lineRule="auto"/>
        <w:ind w:left="360"/>
        <w:jc w:val="both"/>
        <w:rPr>
          <w:rFonts w:asciiTheme="minorHAnsi" w:hAnsiTheme="minorHAnsi" w:cstheme="minorHAnsi"/>
          <w:vanish/>
          <w:sz w:val="23"/>
          <w:szCs w:val="23"/>
        </w:rPr>
      </w:pPr>
    </w:p>
    <w:p w14:paraId="0C9ADF15" w14:textId="77777777" w:rsidR="00D8368D" w:rsidRPr="00301C11" w:rsidRDefault="00D8368D" w:rsidP="00E2757C">
      <w:pPr>
        <w:pStyle w:val="ListParagraph"/>
        <w:numPr>
          <w:ilvl w:val="0"/>
          <w:numId w:val="1"/>
        </w:numPr>
        <w:spacing w:line="240" w:lineRule="auto"/>
        <w:ind w:left="360"/>
        <w:jc w:val="both"/>
        <w:rPr>
          <w:rFonts w:asciiTheme="minorHAnsi" w:hAnsiTheme="minorHAnsi" w:cstheme="minorHAnsi"/>
          <w:vanish/>
          <w:sz w:val="23"/>
          <w:szCs w:val="23"/>
        </w:rPr>
      </w:pPr>
    </w:p>
    <w:p w14:paraId="2C6CF0F0" w14:textId="77777777" w:rsidR="00D8368D" w:rsidRPr="00301C11" w:rsidRDefault="00D8368D" w:rsidP="00E2757C">
      <w:pPr>
        <w:pStyle w:val="ListParagraph"/>
        <w:numPr>
          <w:ilvl w:val="0"/>
          <w:numId w:val="1"/>
        </w:numPr>
        <w:spacing w:line="240" w:lineRule="auto"/>
        <w:ind w:left="360"/>
        <w:jc w:val="both"/>
        <w:rPr>
          <w:rFonts w:asciiTheme="minorHAnsi" w:hAnsiTheme="minorHAnsi" w:cstheme="minorHAnsi"/>
          <w:vanish/>
          <w:sz w:val="23"/>
          <w:szCs w:val="23"/>
        </w:rPr>
      </w:pPr>
    </w:p>
    <w:p w14:paraId="6A63E587" w14:textId="77777777" w:rsidR="00D8368D" w:rsidRPr="00301C11" w:rsidRDefault="00D8368D" w:rsidP="00E2757C">
      <w:pPr>
        <w:pStyle w:val="ListParagraph"/>
        <w:numPr>
          <w:ilvl w:val="0"/>
          <w:numId w:val="1"/>
        </w:numPr>
        <w:spacing w:line="240" w:lineRule="auto"/>
        <w:ind w:left="360"/>
        <w:jc w:val="both"/>
        <w:rPr>
          <w:rFonts w:asciiTheme="minorHAnsi" w:hAnsiTheme="minorHAnsi" w:cstheme="minorHAnsi"/>
          <w:vanish/>
          <w:sz w:val="23"/>
          <w:szCs w:val="23"/>
        </w:rPr>
      </w:pPr>
    </w:p>
    <w:p w14:paraId="15694AAE" w14:textId="77777777" w:rsidR="00D8368D" w:rsidRPr="00301C11" w:rsidRDefault="00D8368D" w:rsidP="00E2757C">
      <w:pPr>
        <w:pStyle w:val="ListParagraph"/>
        <w:numPr>
          <w:ilvl w:val="0"/>
          <w:numId w:val="1"/>
        </w:numPr>
        <w:spacing w:line="240" w:lineRule="auto"/>
        <w:ind w:left="360"/>
        <w:jc w:val="both"/>
        <w:rPr>
          <w:rFonts w:asciiTheme="minorHAnsi" w:hAnsiTheme="minorHAnsi" w:cstheme="minorHAnsi"/>
          <w:sz w:val="23"/>
          <w:szCs w:val="23"/>
          <w:lang w:val="en"/>
        </w:rPr>
      </w:pPr>
      <w:r w:rsidRPr="00301C11">
        <w:rPr>
          <w:rFonts w:asciiTheme="minorHAnsi" w:hAnsiTheme="minorHAnsi" w:cstheme="minorHAnsi"/>
          <w:sz w:val="23"/>
          <w:szCs w:val="23"/>
          <w:lang w:val="en-US"/>
        </w:rPr>
        <w:t xml:space="preserve">The case law of the Court establishes that </w:t>
      </w:r>
      <w:r w:rsidRPr="00301C11">
        <w:rPr>
          <w:rFonts w:asciiTheme="minorHAnsi" w:hAnsiTheme="minorHAnsi" w:cstheme="minorHAnsi"/>
          <w:sz w:val="23"/>
          <w:szCs w:val="23"/>
          <w:lang w:val="en"/>
        </w:rPr>
        <w:t xml:space="preserve">Article 3 of Protocol No. 1 to the European Convention on Human Rights (‘the Convention’) </w:t>
      </w:r>
      <w:r w:rsidRPr="00301C11">
        <w:rPr>
          <w:rFonts w:asciiTheme="minorHAnsi" w:hAnsiTheme="minorHAnsi" w:cstheme="minorHAnsi"/>
          <w:sz w:val="23"/>
          <w:szCs w:val="23"/>
          <w:lang w:val="en-US"/>
        </w:rPr>
        <w:t>guarantees individual rights, including the right to vote and to stand for election.</w:t>
      </w:r>
      <w:r w:rsidRPr="00301C11">
        <w:rPr>
          <w:rFonts w:asciiTheme="minorHAnsi" w:hAnsiTheme="minorHAnsi" w:cstheme="minorHAnsi"/>
          <w:sz w:val="23"/>
          <w:szCs w:val="23"/>
          <w:vertAlign w:val="superscript"/>
          <w:lang w:val="en-US"/>
        </w:rPr>
        <w:footnoteReference w:id="37"/>
      </w:r>
      <w:r w:rsidRPr="00301C11">
        <w:rPr>
          <w:rFonts w:asciiTheme="minorHAnsi" w:hAnsiTheme="minorHAnsi" w:cstheme="minorHAnsi"/>
          <w:sz w:val="23"/>
          <w:szCs w:val="23"/>
          <w:lang w:val="en-US"/>
        </w:rPr>
        <w:t xml:space="preserve"> The Court has ruled numerous times that, even though the right to vote contained in Article 3 of Protocol No. 1 is not absolute, limitations must not impair the very essence of the right and deprive it of its effectiveness.</w:t>
      </w:r>
      <w:r w:rsidRPr="00301C11">
        <w:rPr>
          <w:rFonts w:asciiTheme="minorHAnsi" w:hAnsiTheme="minorHAnsi" w:cstheme="minorHAnsi"/>
          <w:sz w:val="23"/>
          <w:szCs w:val="23"/>
          <w:vertAlign w:val="superscript"/>
          <w:lang w:val="en-US"/>
        </w:rPr>
        <w:footnoteReference w:id="38"/>
      </w:r>
      <w:r w:rsidRPr="00301C11">
        <w:rPr>
          <w:rFonts w:asciiTheme="minorHAnsi" w:hAnsiTheme="minorHAnsi" w:cstheme="minorHAnsi"/>
          <w:sz w:val="23"/>
          <w:szCs w:val="23"/>
          <w:lang w:val="en-US"/>
        </w:rPr>
        <w:t xml:space="preserve"> In assessing limitations on the right, the Court has to satisfy itself that the conditions to which the right to vote are made subject meet the requirements of lawfulness; that they are imposed in pursuit of a legitimate aim; and that the means employed are not disproportionate.</w:t>
      </w:r>
      <w:r w:rsidRPr="00301C11">
        <w:rPr>
          <w:rFonts w:asciiTheme="minorHAnsi" w:hAnsiTheme="minorHAnsi" w:cstheme="minorHAnsi"/>
          <w:sz w:val="23"/>
          <w:szCs w:val="23"/>
          <w:vertAlign w:val="superscript"/>
          <w:lang w:val="en-US"/>
        </w:rPr>
        <w:footnoteReference w:id="39"/>
      </w:r>
      <w:r w:rsidRPr="00301C11">
        <w:rPr>
          <w:rFonts w:asciiTheme="minorHAnsi" w:hAnsiTheme="minorHAnsi" w:cstheme="minorHAnsi"/>
          <w:sz w:val="23"/>
          <w:szCs w:val="23"/>
          <w:lang w:val="en-US"/>
        </w:rPr>
        <w:t xml:space="preserve"> Such conditions must not thwart “</w:t>
      </w:r>
      <w:r w:rsidRPr="00301C11">
        <w:rPr>
          <w:rFonts w:asciiTheme="minorHAnsi" w:hAnsiTheme="minorHAnsi" w:cstheme="minorHAnsi"/>
          <w:i/>
          <w:iCs/>
          <w:sz w:val="23"/>
          <w:szCs w:val="23"/>
          <w:lang w:val="en-US"/>
        </w:rPr>
        <w:t>the free expression of the opinion of the people in the choice of the legislature -</w:t>
      </w:r>
      <w:r w:rsidRPr="00301C11">
        <w:rPr>
          <w:rFonts w:asciiTheme="minorHAnsi" w:hAnsiTheme="minorHAnsi" w:cstheme="minorHAnsi"/>
          <w:i/>
          <w:iCs/>
          <w:sz w:val="23"/>
          <w:szCs w:val="23"/>
          <w:lang w:val="en"/>
        </w:rPr>
        <w:t xml:space="preserve"> in other words, they must reflect, or not run counter to, the concern to maintain the integrity and effectiveness of an electoral procedure aimed at identifying the will of the people through universal suffrage</w:t>
      </w:r>
      <w:r w:rsidRPr="00301C11">
        <w:rPr>
          <w:rFonts w:asciiTheme="minorHAnsi" w:hAnsiTheme="minorHAnsi" w:cstheme="minorHAnsi"/>
          <w:sz w:val="23"/>
          <w:szCs w:val="23"/>
          <w:lang w:val="en"/>
        </w:rPr>
        <w:t>.”</w:t>
      </w:r>
      <w:r w:rsidRPr="00301C11">
        <w:rPr>
          <w:rFonts w:asciiTheme="minorHAnsi" w:hAnsiTheme="minorHAnsi" w:cstheme="minorHAnsi"/>
          <w:sz w:val="23"/>
          <w:szCs w:val="23"/>
          <w:vertAlign w:val="superscript"/>
          <w:lang w:val="en-US"/>
        </w:rPr>
        <w:footnoteReference w:id="40"/>
      </w:r>
      <w:r w:rsidRPr="00301C11">
        <w:rPr>
          <w:rFonts w:asciiTheme="minorHAnsi" w:hAnsiTheme="minorHAnsi" w:cstheme="minorHAnsi"/>
          <w:sz w:val="23"/>
          <w:szCs w:val="23"/>
          <w:lang w:val="en"/>
        </w:rPr>
        <w:t xml:space="preserve"> In relation to groups of people, the Court has ruled that the “</w:t>
      </w:r>
      <w:r w:rsidRPr="00301C11">
        <w:rPr>
          <w:rFonts w:asciiTheme="minorHAnsi" w:hAnsiTheme="minorHAnsi" w:cstheme="minorHAnsi"/>
          <w:i/>
          <w:iCs/>
          <w:sz w:val="23"/>
          <w:szCs w:val="23"/>
          <w:lang w:val="en"/>
        </w:rPr>
        <w:t>exclusion of any groups or categories of the general population must accordingly be reconcilable with the underlying purposes of Article 3 of Protocol No. 1</w:t>
      </w:r>
      <w:r w:rsidRPr="00301C11">
        <w:rPr>
          <w:rFonts w:asciiTheme="minorHAnsi" w:hAnsiTheme="minorHAnsi" w:cstheme="minorHAnsi"/>
          <w:sz w:val="23"/>
          <w:szCs w:val="23"/>
          <w:lang w:val="en"/>
        </w:rPr>
        <w:t>.”</w:t>
      </w:r>
      <w:bookmarkStart w:id="5" w:name="_Hlk503541493"/>
      <w:r w:rsidRPr="00301C11">
        <w:rPr>
          <w:rStyle w:val="FootnoteReference"/>
          <w:rFonts w:asciiTheme="minorHAnsi" w:hAnsiTheme="minorHAnsi" w:cstheme="minorHAnsi"/>
          <w:sz w:val="23"/>
          <w:szCs w:val="23"/>
          <w:lang w:val="en"/>
        </w:rPr>
        <w:footnoteReference w:id="41"/>
      </w:r>
    </w:p>
    <w:p w14:paraId="0362B880" w14:textId="77777777" w:rsidR="00D8368D" w:rsidRPr="00301C11" w:rsidRDefault="00D8368D" w:rsidP="00E2757C">
      <w:pPr>
        <w:pStyle w:val="ListParagraph"/>
        <w:spacing w:line="240" w:lineRule="auto"/>
        <w:ind w:left="360" w:hanging="360"/>
        <w:jc w:val="both"/>
        <w:rPr>
          <w:rFonts w:asciiTheme="minorHAnsi" w:hAnsiTheme="minorHAnsi" w:cstheme="minorHAnsi"/>
          <w:sz w:val="23"/>
          <w:szCs w:val="23"/>
          <w:lang w:val="en"/>
        </w:rPr>
      </w:pPr>
    </w:p>
    <w:p w14:paraId="229F2565" w14:textId="77777777" w:rsidR="00A45A1B" w:rsidRPr="00301C11" w:rsidRDefault="00A45A1B" w:rsidP="00A45A1B">
      <w:pPr>
        <w:pStyle w:val="ListParagraph"/>
        <w:numPr>
          <w:ilvl w:val="0"/>
          <w:numId w:val="1"/>
        </w:numPr>
        <w:spacing w:line="240" w:lineRule="auto"/>
        <w:ind w:left="360"/>
        <w:jc w:val="both"/>
        <w:rPr>
          <w:rFonts w:asciiTheme="minorHAnsi" w:hAnsiTheme="minorHAnsi" w:cstheme="minorHAnsi"/>
          <w:sz w:val="23"/>
          <w:szCs w:val="23"/>
          <w:lang w:val="en-US"/>
        </w:rPr>
      </w:pPr>
      <w:r w:rsidRPr="00301C11">
        <w:rPr>
          <w:rFonts w:asciiTheme="minorHAnsi" w:hAnsiTheme="minorHAnsi" w:cstheme="minorHAnsi"/>
          <w:sz w:val="23"/>
          <w:szCs w:val="23"/>
          <w:lang w:val="en"/>
        </w:rPr>
        <w:lastRenderedPageBreak/>
        <w:t xml:space="preserve">In </w:t>
      </w:r>
      <w:proofErr w:type="spellStart"/>
      <w:r w:rsidRPr="00301C11">
        <w:rPr>
          <w:rFonts w:asciiTheme="minorHAnsi" w:hAnsiTheme="minorHAnsi" w:cstheme="minorHAnsi"/>
          <w:i/>
          <w:iCs/>
          <w:sz w:val="23"/>
          <w:szCs w:val="23"/>
          <w:lang w:val="en"/>
        </w:rPr>
        <w:t>Alajos</w:t>
      </w:r>
      <w:proofErr w:type="spellEnd"/>
      <w:r w:rsidRPr="00301C11">
        <w:rPr>
          <w:rFonts w:asciiTheme="minorHAnsi" w:hAnsiTheme="minorHAnsi" w:cstheme="minorHAnsi"/>
          <w:i/>
          <w:iCs/>
          <w:sz w:val="23"/>
          <w:szCs w:val="23"/>
          <w:lang w:val="en"/>
        </w:rPr>
        <w:t xml:space="preserve"> Kiss v. Hungary,</w:t>
      </w:r>
      <w:r w:rsidRPr="00301C11">
        <w:rPr>
          <w:rFonts w:asciiTheme="minorHAnsi" w:hAnsiTheme="minorHAnsi" w:cstheme="minorHAnsi"/>
          <w:sz w:val="23"/>
          <w:szCs w:val="23"/>
          <w:lang w:val="en"/>
        </w:rPr>
        <w:t xml:space="preserve"> the Court decided that the automatic and blanket disenfranchisement of people with disabilities who are placed under guardianship is contrary to the Convention. It has </w:t>
      </w:r>
      <w:proofErr w:type="spellStart"/>
      <w:r w:rsidRPr="00301C11">
        <w:rPr>
          <w:rFonts w:asciiTheme="minorHAnsi" w:hAnsiTheme="minorHAnsi" w:cstheme="minorHAnsi"/>
          <w:sz w:val="23"/>
          <w:szCs w:val="23"/>
          <w:lang w:val="en"/>
        </w:rPr>
        <w:t>emphasised</w:t>
      </w:r>
      <w:proofErr w:type="spellEnd"/>
      <w:r w:rsidRPr="00301C11">
        <w:rPr>
          <w:rFonts w:asciiTheme="minorHAnsi" w:hAnsiTheme="minorHAnsi" w:cstheme="minorHAnsi"/>
          <w:sz w:val="23"/>
          <w:szCs w:val="23"/>
          <w:lang w:val="en"/>
        </w:rPr>
        <w:t xml:space="preserve"> that “</w:t>
      </w:r>
      <w:r w:rsidRPr="00301C11">
        <w:rPr>
          <w:rFonts w:asciiTheme="minorHAnsi" w:hAnsiTheme="minorHAnsi" w:cstheme="minorHAnsi"/>
          <w:i/>
          <w:iCs/>
          <w:sz w:val="23"/>
          <w:szCs w:val="23"/>
          <w:lang w:val="en-US"/>
        </w:rPr>
        <w:t>where a restriction on fundamental rights applies to a particularly vulnerable group in society, who have suffered considerable discrimination in the past, such as the mentally disabled, then the State's margin of appreciation is substantially narrower and it must have very weighty reasons for the restrictions in question</w:t>
      </w:r>
      <w:r w:rsidRPr="00301C11">
        <w:rPr>
          <w:rFonts w:asciiTheme="minorHAnsi" w:hAnsiTheme="minorHAnsi" w:cstheme="minorHAnsi"/>
          <w:sz w:val="23"/>
          <w:szCs w:val="23"/>
          <w:lang w:val="en-US"/>
        </w:rPr>
        <w:t>. (…) [t]</w:t>
      </w:r>
      <w:r w:rsidRPr="00301C11">
        <w:rPr>
          <w:rFonts w:asciiTheme="minorHAnsi" w:hAnsiTheme="minorHAnsi" w:cstheme="minorHAnsi"/>
          <w:i/>
          <w:iCs/>
          <w:sz w:val="23"/>
          <w:szCs w:val="23"/>
          <w:lang w:val="en-US"/>
        </w:rPr>
        <w:t>he reason for this approach, which questions certain classifications per se, is that such groups were historically subject to prejudice with lasting consequences, resulting in their social exclusion</w:t>
      </w:r>
      <w:r w:rsidRPr="00301C11">
        <w:rPr>
          <w:rFonts w:asciiTheme="minorHAnsi" w:hAnsiTheme="minorHAnsi" w:cstheme="minorHAnsi"/>
          <w:sz w:val="23"/>
          <w:szCs w:val="23"/>
          <w:lang w:val="en-US"/>
        </w:rPr>
        <w:t>.”</w:t>
      </w:r>
      <w:r w:rsidRPr="00301C11">
        <w:rPr>
          <w:rFonts w:asciiTheme="minorHAnsi" w:hAnsiTheme="minorHAnsi" w:cstheme="minorHAnsi"/>
          <w:sz w:val="23"/>
          <w:szCs w:val="23"/>
          <w:vertAlign w:val="superscript"/>
          <w:lang w:val="en-US"/>
        </w:rPr>
        <w:footnoteReference w:id="42"/>
      </w:r>
      <w:r w:rsidRPr="00301C11">
        <w:rPr>
          <w:rFonts w:asciiTheme="minorHAnsi" w:hAnsiTheme="minorHAnsi" w:cstheme="minorHAnsi"/>
          <w:sz w:val="23"/>
          <w:szCs w:val="23"/>
          <w:lang w:val="en-US"/>
        </w:rPr>
        <w:t xml:space="preserve"> </w:t>
      </w:r>
      <w:r w:rsidRPr="00301C11">
        <w:rPr>
          <w:rFonts w:asciiTheme="minorHAnsi" w:hAnsiTheme="minorHAnsi" w:cstheme="minorHAnsi"/>
          <w:sz w:val="23"/>
          <w:szCs w:val="23"/>
        </w:rPr>
        <w:t>The Convention aspires to put an end to these historical discriminations. The rights enshrined in the Convention are to be guaranteed to "everyone",</w:t>
      </w:r>
      <w:r w:rsidRPr="00301C11">
        <w:rPr>
          <w:rStyle w:val="FootnoteReference"/>
          <w:rFonts w:asciiTheme="minorHAnsi" w:hAnsiTheme="minorHAnsi" w:cstheme="minorHAnsi"/>
          <w:sz w:val="23"/>
          <w:szCs w:val="23"/>
        </w:rPr>
        <w:footnoteReference w:id="43"/>
      </w:r>
      <w:r w:rsidRPr="00301C11">
        <w:rPr>
          <w:rFonts w:asciiTheme="minorHAnsi" w:hAnsiTheme="minorHAnsi" w:cstheme="minorHAnsi"/>
          <w:sz w:val="23"/>
          <w:szCs w:val="23"/>
        </w:rPr>
        <w:t xml:space="preserve"> including people with intellectual and psycho-social disabilities. </w:t>
      </w:r>
    </w:p>
    <w:p w14:paraId="0D9E782A" w14:textId="77796A0A" w:rsidR="00A45A1B" w:rsidRPr="00301C11" w:rsidRDefault="00A45A1B" w:rsidP="00A45A1B">
      <w:pPr>
        <w:pStyle w:val="ListParagraph"/>
        <w:spacing w:line="240" w:lineRule="auto"/>
        <w:ind w:left="360"/>
        <w:jc w:val="both"/>
        <w:rPr>
          <w:rFonts w:asciiTheme="minorHAnsi" w:hAnsiTheme="minorHAnsi" w:cstheme="minorHAnsi"/>
          <w:sz w:val="23"/>
          <w:szCs w:val="23"/>
          <w:lang w:val="en"/>
        </w:rPr>
      </w:pPr>
    </w:p>
    <w:p w14:paraId="042E35FF" w14:textId="0564FBAD" w:rsidR="00D8368D" w:rsidRPr="00301C11" w:rsidRDefault="00A45A1B" w:rsidP="00A45A1B">
      <w:pPr>
        <w:pStyle w:val="ListParagraph"/>
        <w:numPr>
          <w:ilvl w:val="0"/>
          <w:numId w:val="1"/>
        </w:numPr>
        <w:spacing w:line="240" w:lineRule="auto"/>
        <w:ind w:left="360"/>
        <w:jc w:val="both"/>
        <w:rPr>
          <w:rFonts w:asciiTheme="minorHAnsi" w:hAnsiTheme="minorHAnsi" w:cstheme="minorHAnsi"/>
          <w:sz w:val="23"/>
          <w:szCs w:val="23"/>
          <w:lang w:val="en"/>
        </w:rPr>
      </w:pPr>
      <w:r w:rsidRPr="00301C11">
        <w:rPr>
          <w:rFonts w:asciiTheme="minorHAnsi" w:hAnsiTheme="minorHAnsi" w:cstheme="minorHAnsi"/>
          <w:sz w:val="23"/>
          <w:szCs w:val="23"/>
          <w:lang w:val="en"/>
        </w:rPr>
        <w:t>T</w:t>
      </w:r>
      <w:r w:rsidR="00D8368D" w:rsidRPr="00301C11">
        <w:rPr>
          <w:rFonts w:asciiTheme="minorHAnsi" w:hAnsiTheme="minorHAnsi" w:cstheme="minorHAnsi"/>
          <w:sz w:val="23"/>
          <w:szCs w:val="23"/>
          <w:lang w:val="en"/>
        </w:rPr>
        <w:t xml:space="preserve">he guiding principle, </w:t>
      </w:r>
      <w:r w:rsidRPr="00301C11">
        <w:rPr>
          <w:rFonts w:asciiTheme="minorHAnsi" w:hAnsiTheme="minorHAnsi" w:cstheme="minorHAnsi"/>
          <w:sz w:val="23"/>
          <w:szCs w:val="23"/>
          <w:lang w:val="en"/>
        </w:rPr>
        <w:t>therefore</w:t>
      </w:r>
      <w:r w:rsidR="00D8368D" w:rsidRPr="00301C11">
        <w:rPr>
          <w:rFonts w:asciiTheme="minorHAnsi" w:hAnsiTheme="minorHAnsi" w:cstheme="minorHAnsi"/>
          <w:sz w:val="23"/>
          <w:szCs w:val="23"/>
          <w:lang w:val="en"/>
        </w:rPr>
        <w:t xml:space="preserve">, </w:t>
      </w:r>
      <w:r w:rsidRPr="00301C11">
        <w:rPr>
          <w:rFonts w:asciiTheme="minorHAnsi" w:hAnsiTheme="minorHAnsi" w:cstheme="minorHAnsi"/>
          <w:sz w:val="23"/>
          <w:szCs w:val="23"/>
          <w:lang w:val="en"/>
        </w:rPr>
        <w:t>must be</w:t>
      </w:r>
      <w:r w:rsidR="00D8368D" w:rsidRPr="00301C11">
        <w:rPr>
          <w:rFonts w:asciiTheme="minorHAnsi" w:hAnsiTheme="minorHAnsi" w:cstheme="minorHAnsi"/>
          <w:sz w:val="23"/>
          <w:szCs w:val="23"/>
          <w:lang w:val="en"/>
        </w:rPr>
        <w:t xml:space="preserve"> universal suffrage. Any departure from that principle risks undermining the democratic validity of the legislature thus elected and the laws it promulgates. </w:t>
      </w:r>
      <w:r w:rsidRPr="00301C11">
        <w:rPr>
          <w:rFonts w:asciiTheme="minorHAnsi" w:hAnsiTheme="minorHAnsi" w:cstheme="minorHAnsi"/>
          <w:sz w:val="23"/>
          <w:szCs w:val="23"/>
          <w:lang w:val="en"/>
        </w:rPr>
        <w:t xml:space="preserve">Neither blanket bans nor denials </w:t>
      </w:r>
      <w:r w:rsidR="00D8368D" w:rsidRPr="00301C11">
        <w:rPr>
          <w:rFonts w:asciiTheme="minorHAnsi" w:hAnsiTheme="minorHAnsi" w:cstheme="minorHAnsi"/>
          <w:sz w:val="23"/>
          <w:szCs w:val="23"/>
          <w:lang w:val="en-US"/>
        </w:rPr>
        <w:t xml:space="preserve">of the right to vote </w:t>
      </w:r>
      <w:r w:rsidRPr="00301C11">
        <w:rPr>
          <w:rFonts w:asciiTheme="minorHAnsi" w:hAnsiTheme="minorHAnsi" w:cstheme="minorHAnsi"/>
          <w:sz w:val="23"/>
          <w:szCs w:val="23"/>
          <w:lang w:val="en-US"/>
        </w:rPr>
        <w:t xml:space="preserve">based on individualized capacity assessments are </w:t>
      </w:r>
      <w:r w:rsidR="00D8368D" w:rsidRPr="00301C11">
        <w:rPr>
          <w:rFonts w:asciiTheme="minorHAnsi" w:hAnsiTheme="minorHAnsi" w:cstheme="minorHAnsi"/>
          <w:sz w:val="23"/>
          <w:szCs w:val="23"/>
          <w:lang w:val="en-US"/>
        </w:rPr>
        <w:t xml:space="preserve">reconcilable with the free expression of the opinion of the people or maintaining the integrity and effectiveness of the electoral procedure because </w:t>
      </w:r>
      <w:r w:rsidRPr="00301C11">
        <w:rPr>
          <w:rFonts w:asciiTheme="minorHAnsi" w:hAnsiTheme="minorHAnsi" w:cstheme="minorHAnsi"/>
          <w:sz w:val="23"/>
          <w:szCs w:val="23"/>
          <w:lang w:val="en-US"/>
        </w:rPr>
        <w:t>they are</w:t>
      </w:r>
      <w:r w:rsidR="00D8368D" w:rsidRPr="00301C11">
        <w:rPr>
          <w:rFonts w:asciiTheme="minorHAnsi" w:hAnsiTheme="minorHAnsi" w:cstheme="minorHAnsi"/>
          <w:sz w:val="23"/>
          <w:szCs w:val="23"/>
          <w:lang w:val="en-US"/>
        </w:rPr>
        <w:t xml:space="preserve"> predicated on the unfounded stereotype that persons with disabilities are incapable and unable to form valid political opinions. </w:t>
      </w:r>
      <w:r w:rsidRPr="00301C11">
        <w:rPr>
          <w:rFonts w:asciiTheme="minorHAnsi" w:hAnsiTheme="minorHAnsi" w:cstheme="minorHAnsi"/>
          <w:sz w:val="23"/>
          <w:szCs w:val="23"/>
          <w:lang w:val="en-US"/>
        </w:rPr>
        <w:t xml:space="preserve">Ensuring citizens’ capability to vote is expressly contrary to the free expression of the opinion of the people and cannot be considered to be a legitimate aim. </w:t>
      </w:r>
      <w:r w:rsidR="00D8368D" w:rsidRPr="00301C11">
        <w:rPr>
          <w:rFonts w:asciiTheme="minorHAnsi" w:hAnsiTheme="minorHAnsi" w:cstheme="minorHAnsi"/>
          <w:sz w:val="23"/>
          <w:szCs w:val="23"/>
          <w:lang w:val="en-US"/>
        </w:rPr>
        <w:t xml:space="preserve">Any assessment of capacity to vote rests on the false assumption that it is possible and desirable to objectively separate out those who are considered to be incapable of voting from others. </w:t>
      </w:r>
      <w:r w:rsidR="00D8368D" w:rsidRPr="00301C11">
        <w:rPr>
          <w:rFonts w:asciiTheme="minorHAnsi" w:hAnsiTheme="minorHAnsi" w:cstheme="minorHAnsi"/>
          <w:sz w:val="23"/>
          <w:szCs w:val="23"/>
        </w:rPr>
        <w:t>The reality is that casting ‘irrational’ votes is not confined to people with disabilities, but occurs amongst the general population.</w:t>
      </w:r>
      <w:r w:rsidR="00D8368D" w:rsidRPr="00301C11">
        <w:rPr>
          <w:rStyle w:val="FootnoteReference"/>
          <w:rFonts w:asciiTheme="minorHAnsi" w:hAnsiTheme="minorHAnsi" w:cstheme="minorHAnsi"/>
          <w:sz w:val="23"/>
          <w:szCs w:val="23"/>
        </w:rPr>
        <w:footnoteReference w:id="44"/>
      </w:r>
      <w:r w:rsidR="00D8368D" w:rsidRPr="00301C11">
        <w:rPr>
          <w:rFonts w:asciiTheme="minorHAnsi" w:hAnsiTheme="minorHAnsi" w:cstheme="minorHAnsi"/>
          <w:sz w:val="23"/>
          <w:szCs w:val="23"/>
        </w:rPr>
        <w:t xml:space="preserve"> </w:t>
      </w:r>
      <w:r w:rsidR="00757D8D" w:rsidRPr="00301C11">
        <w:rPr>
          <w:rFonts w:asciiTheme="minorHAnsi" w:hAnsiTheme="minorHAnsi" w:cstheme="minorHAnsi"/>
          <w:sz w:val="23"/>
          <w:szCs w:val="23"/>
        </w:rPr>
        <w:t>Incapacity assessments are further based on the erroneous assumption</w:t>
      </w:r>
      <w:r w:rsidRPr="00301C11">
        <w:rPr>
          <w:rFonts w:asciiTheme="minorHAnsi" w:hAnsiTheme="minorHAnsi" w:cstheme="minorHAnsi"/>
          <w:sz w:val="23"/>
          <w:szCs w:val="23"/>
        </w:rPr>
        <w:t>s</w:t>
      </w:r>
      <w:r w:rsidR="00757D8D" w:rsidRPr="00301C11">
        <w:rPr>
          <w:rFonts w:asciiTheme="minorHAnsi" w:hAnsiTheme="minorHAnsi" w:cstheme="minorHAnsi"/>
          <w:sz w:val="23"/>
          <w:szCs w:val="23"/>
        </w:rPr>
        <w:t xml:space="preserve"> that a) supposedly incapable voters are actually exercising their right to vote; and b) that supposedly capable voters are making rational voting choices. Universal suffrage means votes for all, not just for those who make their voting decision in some sort of “approved manner”.</w:t>
      </w:r>
      <w:r w:rsidRPr="00301C11">
        <w:rPr>
          <w:rFonts w:asciiTheme="minorHAnsi" w:hAnsiTheme="minorHAnsi" w:cstheme="minorHAnsi"/>
          <w:sz w:val="23"/>
          <w:szCs w:val="23"/>
        </w:rPr>
        <w:t xml:space="preserve"> Even if ensuring capability to vote is considered to be a legitimate aim, capacity assessments are, therefore, not a proportionate means of achieving it.</w:t>
      </w:r>
    </w:p>
    <w:bookmarkEnd w:id="5"/>
    <w:p w14:paraId="1581AC5B" w14:textId="77777777" w:rsidR="00D8368D" w:rsidRPr="00301C11" w:rsidRDefault="00D8368D" w:rsidP="00E2757C">
      <w:pPr>
        <w:pStyle w:val="ListParagraph"/>
        <w:spacing w:line="240" w:lineRule="auto"/>
        <w:ind w:left="360" w:hanging="360"/>
        <w:jc w:val="both"/>
        <w:rPr>
          <w:rFonts w:asciiTheme="minorHAnsi" w:hAnsiTheme="minorHAnsi" w:cstheme="minorHAnsi"/>
          <w:sz w:val="23"/>
          <w:szCs w:val="23"/>
          <w:lang w:val="en-US"/>
        </w:rPr>
      </w:pPr>
    </w:p>
    <w:p w14:paraId="011F4406" w14:textId="54C311AA" w:rsidR="008B3550" w:rsidRPr="00301C11" w:rsidRDefault="008B3550" w:rsidP="00E2757C">
      <w:pPr>
        <w:pStyle w:val="ListParagraph"/>
        <w:numPr>
          <w:ilvl w:val="0"/>
          <w:numId w:val="1"/>
        </w:numPr>
        <w:spacing w:line="240" w:lineRule="auto"/>
        <w:ind w:left="360"/>
        <w:jc w:val="both"/>
        <w:rPr>
          <w:rFonts w:asciiTheme="minorHAnsi" w:hAnsiTheme="minorHAnsi" w:cstheme="minorHAnsi"/>
          <w:sz w:val="23"/>
          <w:szCs w:val="23"/>
          <w:lang w:val="en-US"/>
        </w:rPr>
      </w:pPr>
      <w:r w:rsidRPr="00301C11">
        <w:rPr>
          <w:rFonts w:asciiTheme="minorHAnsi" w:hAnsiTheme="minorHAnsi" w:cstheme="minorHAnsi"/>
          <w:sz w:val="23"/>
          <w:szCs w:val="23"/>
        </w:rPr>
        <w:t xml:space="preserve">Flowing from the principle of universality and the basic principle of non-discrimination on the basis of disability, the Convention places upon </w:t>
      </w:r>
      <w:r w:rsidR="00A45A1B" w:rsidRPr="00301C11">
        <w:rPr>
          <w:rFonts w:asciiTheme="minorHAnsi" w:hAnsiTheme="minorHAnsi" w:cstheme="minorHAnsi"/>
          <w:sz w:val="23"/>
          <w:szCs w:val="23"/>
        </w:rPr>
        <w:t>S</w:t>
      </w:r>
      <w:r w:rsidRPr="00301C11">
        <w:rPr>
          <w:rFonts w:asciiTheme="minorHAnsi" w:hAnsiTheme="minorHAnsi" w:cstheme="minorHAnsi"/>
          <w:sz w:val="23"/>
          <w:szCs w:val="23"/>
        </w:rPr>
        <w:t>tates the duty to make reasonable accommodations to ensure the enjoyment or exercise of the rights of people with disabilities on an equal basis with others.</w:t>
      </w:r>
      <w:r w:rsidRPr="00301C11">
        <w:rPr>
          <w:rFonts w:asciiTheme="minorHAnsi" w:hAnsiTheme="minorHAnsi" w:cstheme="minorHAnsi"/>
          <w:sz w:val="23"/>
          <w:szCs w:val="23"/>
          <w:vertAlign w:val="superscript"/>
        </w:rPr>
        <w:footnoteReference w:id="45"/>
      </w:r>
      <w:r w:rsidRPr="00301C11">
        <w:rPr>
          <w:rFonts w:asciiTheme="minorHAnsi" w:hAnsiTheme="minorHAnsi" w:cstheme="minorHAnsi"/>
          <w:sz w:val="23"/>
          <w:szCs w:val="23"/>
        </w:rPr>
        <w:t xml:space="preserve"> </w:t>
      </w:r>
      <w:r w:rsidRPr="00301C11">
        <w:rPr>
          <w:rFonts w:asciiTheme="minorHAnsi" w:hAnsiTheme="minorHAnsi" w:cstheme="minorHAnsi"/>
          <w:sz w:val="23"/>
          <w:szCs w:val="23"/>
          <w:lang w:val="en-US"/>
        </w:rPr>
        <w:t>Reasonable accommodation in the Court’s jurisprudence upholds the right of individuals to non-discrimination and other rights by treating individuals in different circumstances differently.</w:t>
      </w:r>
      <w:r w:rsidRPr="00301C11">
        <w:rPr>
          <w:rFonts w:asciiTheme="minorHAnsi" w:hAnsiTheme="minorHAnsi" w:cstheme="minorHAnsi"/>
          <w:sz w:val="23"/>
          <w:szCs w:val="23"/>
          <w:vertAlign w:val="superscript"/>
          <w:lang w:val="en-US"/>
        </w:rPr>
        <w:footnoteReference w:id="46"/>
      </w:r>
      <w:r w:rsidRPr="00301C11">
        <w:rPr>
          <w:rFonts w:asciiTheme="minorHAnsi" w:hAnsiTheme="minorHAnsi" w:cstheme="minorHAnsi"/>
          <w:sz w:val="23"/>
          <w:szCs w:val="23"/>
          <w:lang w:val="en-US"/>
        </w:rPr>
        <w:t xml:space="preserve"> The result has been the finding of violations of the rights of people with disabilities for failures by the State to take steps to provide alternatives or to adapt to an individual’s circumstances and needs.</w:t>
      </w:r>
      <w:r w:rsidRPr="00301C11">
        <w:rPr>
          <w:rFonts w:asciiTheme="minorHAnsi" w:hAnsiTheme="minorHAnsi" w:cstheme="minorHAnsi"/>
          <w:sz w:val="23"/>
          <w:szCs w:val="23"/>
          <w:vertAlign w:val="superscript"/>
          <w:lang w:val="en-US"/>
        </w:rPr>
        <w:footnoteReference w:id="47"/>
      </w:r>
      <w:r w:rsidRPr="00301C11">
        <w:rPr>
          <w:rFonts w:asciiTheme="minorHAnsi" w:hAnsiTheme="minorHAnsi" w:cstheme="minorHAnsi"/>
          <w:sz w:val="23"/>
          <w:szCs w:val="23"/>
          <w:lang w:val="en-US"/>
        </w:rPr>
        <w:t xml:space="preserve"> </w:t>
      </w:r>
      <w:r w:rsidRPr="00301C11">
        <w:rPr>
          <w:rFonts w:asciiTheme="minorHAnsi" w:hAnsiTheme="minorHAnsi" w:cstheme="minorHAnsi"/>
          <w:sz w:val="23"/>
          <w:szCs w:val="23"/>
          <w:lang w:val="en-US"/>
        </w:rPr>
        <w:lastRenderedPageBreak/>
        <w:t xml:space="preserve">In the context of the voting rights of people with disabilities, this means that </w:t>
      </w:r>
      <w:r w:rsidR="00E779C8" w:rsidRPr="00301C11">
        <w:rPr>
          <w:rFonts w:asciiTheme="minorHAnsi" w:hAnsiTheme="minorHAnsi" w:cstheme="minorHAnsi"/>
          <w:sz w:val="23"/>
          <w:szCs w:val="23"/>
          <w:lang w:val="en-US"/>
        </w:rPr>
        <w:t>S</w:t>
      </w:r>
      <w:r w:rsidRPr="00301C11">
        <w:rPr>
          <w:rFonts w:asciiTheme="minorHAnsi" w:hAnsiTheme="minorHAnsi" w:cstheme="minorHAnsi"/>
          <w:sz w:val="23"/>
          <w:szCs w:val="23"/>
          <w:lang w:val="en-US"/>
        </w:rPr>
        <w:t xml:space="preserve">tates are obliged to provide all the necessary assistance to people with disabilities according to their individual needs and to ensure the necessary modifications to voting procedures.  </w:t>
      </w:r>
    </w:p>
    <w:p w14:paraId="1F17177D" w14:textId="77777777" w:rsidR="008B3550" w:rsidRPr="00301C11" w:rsidRDefault="008B3550" w:rsidP="00E2757C">
      <w:pPr>
        <w:spacing w:line="240" w:lineRule="auto"/>
        <w:ind w:left="360" w:hanging="360"/>
        <w:jc w:val="both"/>
        <w:rPr>
          <w:rFonts w:asciiTheme="minorHAnsi" w:hAnsiTheme="minorHAnsi" w:cstheme="minorHAnsi"/>
          <w:b/>
          <w:bCs/>
          <w:sz w:val="23"/>
          <w:szCs w:val="23"/>
        </w:rPr>
      </w:pPr>
    </w:p>
    <w:p w14:paraId="5DAB5BEF" w14:textId="13223050" w:rsidR="007E68DC" w:rsidRPr="00301C11" w:rsidRDefault="72B17112" w:rsidP="00E2757C">
      <w:pPr>
        <w:spacing w:line="240" w:lineRule="auto"/>
        <w:jc w:val="both"/>
        <w:rPr>
          <w:rFonts w:asciiTheme="minorHAnsi" w:hAnsiTheme="minorHAnsi" w:cstheme="minorHAnsi"/>
          <w:b/>
          <w:bCs/>
          <w:sz w:val="23"/>
          <w:szCs w:val="23"/>
          <w:u w:val="single"/>
        </w:rPr>
      </w:pPr>
      <w:r w:rsidRPr="00301C11">
        <w:rPr>
          <w:rFonts w:asciiTheme="minorHAnsi" w:hAnsiTheme="minorHAnsi" w:cstheme="minorHAnsi"/>
          <w:b/>
          <w:bCs/>
          <w:sz w:val="23"/>
          <w:szCs w:val="23"/>
          <w:u w:val="single"/>
        </w:rPr>
        <w:t>Conclusion</w:t>
      </w:r>
    </w:p>
    <w:p w14:paraId="77323C1D" w14:textId="77777777" w:rsidR="007E68DC" w:rsidRPr="00301C11" w:rsidRDefault="007E68DC" w:rsidP="00E2757C">
      <w:pPr>
        <w:spacing w:line="240" w:lineRule="auto"/>
        <w:ind w:left="360" w:hanging="360"/>
        <w:jc w:val="both"/>
        <w:rPr>
          <w:rFonts w:asciiTheme="minorHAnsi" w:hAnsiTheme="minorHAnsi" w:cstheme="minorHAnsi"/>
          <w:sz w:val="23"/>
          <w:szCs w:val="23"/>
        </w:rPr>
      </w:pPr>
    </w:p>
    <w:p w14:paraId="02285421" w14:textId="580FE50C" w:rsidR="007A6EBD" w:rsidRPr="00301C11" w:rsidRDefault="72B17112" w:rsidP="00E2757C">
      <w:pPr>
        <w:pStyle w:val="ListParagraph"/>
        <w:numPr>
          <w:ilvl w:val="0"/>
          <w:numId w:val="1"/>
        </w:numPr>
        <w:spacing w:line="240" w:lineRule="auto"/>
        <w:ind w:left="360"/>
        <w:jc w:val="both"/>
        <w:rPr>
          <w:rFonts w:asciiTheme="minorHAnsi" w:hAnsiTheme="minorHAnsi" w:cstheme="minorHAnsi"/>
          <w:sz w:val="23"/>
          <w:szCs w:val="23"/>
          <w:lang w:val="en-US"/>
        </w:rPr>
      </w:pPr>
      <w:r w:rsidRPr="00301C11">
        <w:rPr>
          <w:rFonts w:asciiTheme="minorHAnsi" w:hAnsiTheme="minorHAnsi" w:cstheme="minorHAnsi"/>
          <w:sz w:val="23"/>
          <w:szCs w:val="23"/>
          <w:lang w:val="en-US"/>
        </w:rPr>
        <w:t>It is trite law that the right to vote is truly a universal right and there is a clear European and international consensus that the right to political participation must be guaranteed to all people with disabilities on an equal basis with others. All key international and Council of Europe authoritative bodies – the Committee of Ministers, the Parliamentary Assembly of the Council of Europe, the Council of Europe Commissioner for Human Rights</w:t>
      </w:r>
      <w:r w:rsidR="006A2BF4" w:rsidRPr="00301C11">
        <w:rPr>
          <w:rFonts w:asciiTheme="minorHAnsi" w:hAnsiTheme="minorHAnsi" w:cstheme="minorHAnsi"/>
          <w:sz w:val="23"/>
          <w:szCs w:val="23"/>
          <w:lang w:val="en-US"/>
        </w:rPr>
        <w:t xml:space="preserve">, the UN Special Rapporteur on Disability </w:t>
      </w:r>
      <w:r w:rsidRPr="00301C11">
        <w:rPr>
          <w:rFonts w:asciiTheme="minorHAnsi" w:hAnsiTheme="minorHAnsi" w:cstheme="minorHAnsi"/>
          <w:sz w:val="23"/>
          <w:szCs w:val="23"/>
          <w:lang w:val="en-US"/>
        </w:rPr>
        <w:t>and the CRPD Committee – are consistent in their position that people with mental disabilities cannot be stripped of the right to vote on the basis of disability but rather are entitled to support in exercising this right. Legal and physical barriers to voting must be removed, accessibility measures must be put in place and adequate support, through the provision of reasonable accommodation, needs to be ensured. Depriving people of their right to vote due to their disability is clearly discriminatory.</w:t>
      </w:r>
    </w:p>
    <w:p w14:paraId="03B1E9C2" w14:textId="77777777" w:rsidR="00F37DFF" w:rsidRPr="00301C11" w:rsidRDefault="00F37DFF" w:rsidP="00E2757C">
      <w:pPr>
        <w:pStyle w:val="ListParagraph"/>
        <w:spacing w:line="240" w:lineRule="auto"/>
        <w:ind w:left="360" w:hanging="360"/>
        <w:jc w:val="both"/>
        <w:rPr>
          <w:rFonts w:asciiTheme="minorHAnsi" w:hAnsiTheme="minorHAnsi" w:cstheme="minorHAnsi"/>
          <w:sz w:val="23"/>
          <w:szCs w:val="23"/>
          <w:lang w:val="en-US"/>
        </w:rPr>
      </w:pPr>
      <w:r w:rsidRPr="00301C11">
        <w:rPr>
          <w:rFonts w:asciiTheme="minorHAnsi" w:hAnsiTheme="minorHAnsi" w:cstheme="minorHAnsi"/>
          <w:sz w:val="23"/>
          <w:szCs w:val="23"/>
          <w:lang w:val="en-US"/>
        </w:rPr>
        <w:t xml:space="preserve"> </w:t>
      </w:r>
    </w:p>
    <w:p w14:paraId="3DB6E76A" w14:textId="44B77278" w:rsidR="00251811" w:rsidRPr="00301C11" w:rsidRDefault="72B17112" w:rsidP="00E2757C">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rPr>
        <w:t xml:space="preserve">Validity submits that </w:t>
      </w:r>
      <w:proofErr w:type="spellStart"/>
      <w:r w:rsidRPr="00301C11">
        <w:rPr>
          <w:rFonts w:asciiTheme="minorHAnsi" w:hAnsiTheme="minorHAnsi" w:cstheme="minorHAnsi"/>
          <w:sz w:val="23"/>
          <w:szCs w:val="23"/>
        </w:rPr>
        <w:t>i</w:t>
      </w:r>
      <w:proofErr w:type="spellEnd"/>
      <w:r w:rsidRPr="00301C11">
        <w:rPr>
          <w:rFonts w:asciiTheme="minorHAnsi" w:hAnsiTheme="minorHAnsi" w:cstheme="minorHAnsi"/>
          <w:sz w:val="23"/>
          <w:szCs w:val="23"/>
          <w:lang w:val="en-US"/>
        </w:rPr>
        <w:t xml:space="preserve">t is not compatible with the general objectives of the Convention and in particular Article 3 of Protocol No. 1. to subject </w:t>
      </w:r>
      <w:r w:rsidR="00A45A1B" w:rsidRPr="00301C11">
        <w:rPr>
          <w:rFonts w:asciiTheme="minorHAnsi" w:hAnsiTheme="minorHAnsi" w:cstheme="minorHAnsi"/>
          <w:sz w:val="23"/>
          <w:szCs w:val="23"/>
          <w:lang w:val="en-US"/>
        </w:rPr>
        <w:t xml:space="preserve">the right to vote of </w:t>
      </w:r>
      <w:r w:rsidRPr="00301C11">
        <w:rPr>
          <w:rFonts w:asciiTheme="minorHAnsi" w:hAnsiTheme="minorHAnsi" w:cstheme="minorHAnsi"/>
          <w:sz w:val="23"/>
          <w:szCs w:val="23"/>
          <w:lang w:val="en-US"/>
        </w:rPr>
        <w:t xml:space="preserve">people with disabilities to any form of capacity test not applied to people without disabilities. </w:t>
      </w:r>
      <w:r w:rsidR="00757D8D" w:rsidRPr="00301C11">
        <w:rPr>
          <w:rFonts w:asciiTheme="minorHAnsi" w:hAnsiTheme="minorHAnsi" w:cstheme="minorHAnsi"/>
          <w:sz w:val="23"/>
          <w:szCs w:val="23"/>
          <w:lang w:val="en-US"/>
        </w:rPr>
        <w:t xml:space="preserve">It is expressly contrary to the idea of universal suffrage. It is anti-democratic and discriminatory. Further, it is impractical, arbitrary and open to abuse. It is impossible to assess what is a ‘valid’ political opinion. </w:t>
      </w:r>
      <w:r w:rsidR="006A2BF4" w:rsidRPr="00301C11">
        <w:rPr>
          <w:rFonts w:asciiTheme="minorHAnsi" w:hAnsiTheme="minorHAnsi" w:cstheme="minorHAnsi"/>
          <w:sz w:val="23"/>
          <w:szCs w:val="23"/>
          <w:lang w:val="en-US"/>
        </w:rPr>
        <w:t>While making no statement on the specific circumstance</w:t>
      </w:r>
      <w:r w:rsidR="00757D8D" w:rsidRPr="00301C11">
        <w:rPr>
          <w:rFonts w:asciiTheme="minorHAnsi" w:hAnsiTheme="minorHAnsi" w:cstheme="minorHAnsi"/>
          <w:sz w:val="23"/>
          <w:szCs w:val="23"/>
          <w:lang w:val="en-US"/>
        </w:rPr>
        <w:t>s</w:t>
      </w:r>
      <w:r w:rsidR="006A2BF4" w:rsidRPr="00301C11">
        <w:rPr>
          <w:rFonts w:asciiTheme="minorHAnsi" w:hAnsiTheme="minorHAnsi" w:cstheme="minorHAnsi"/>
          <w:sz w:val="23"/>
          <w:szCs w:val="23"/>
          <w:lang w:val="en-US"/>
        </w:rPr>
        <w:t xml:space="preserve"> pertaining to the deprivation of the Applicant’s right to vote, the guardianship system which restricts the right to vote of people with disabilities in Bulgaria runs counter to the above international standards and, in particular, is incompatible with Article 3 of Protocol No. 1 of the Convention. </w:t>
      </w:r>
      <w:r w:rsidR="00A45A1B" w:rsidRPr="00301C11">
        <w:rPr>
          <w:rFonts w:asciiTheme="minorHAnsi" w:hAnsiTheme="minorHAnsi" w:cstheme="minorHAnsi"/>
          <w:sz w:val="23"/>
          <w:szCs w:val="23"/>
          <w:lang w:val="en-US"/>
        </w:rPr>
        <w:t xml:space="preserve">In addition, the system makes no provision for providing necessary support to people with disabilities who require it to exercise their right to vote effectively, thereby failing to provide reasonable accommodations – a form of discrimination. </w:t>
      </w:r>
      <w:r w:rsidRPr="00301C11">
        <w:rPr>
          <w:rFonts w:asciiTheme="minorHAnsi" w:hAnsiTheme="minorHAnsi" w:cstheme="minorHAnsi"/>
          <w:sz w:val="23"/>
          <w:szCs w:val="23"/>
        </w:rPr>
        <w:t xml:space="preserve">The protection of the integrity of the political system from individuals who are unable to formulate a valid political opinion cannot serve as a legitimate justification for the adoption of discriminatory </w:t>
      </w:r>
      <w:r w:rsidRPr="00301C11">
        <w:rPr>
          <w:rFonts w:asciiTheme="minorHAnsi" w:hAnsiTheme="minorHAnsi" w:cstheme="minorHAnsi"/>
          <w:sz w:val="23"/>
          <w:szCs w:val="23"/>
          <w:lang w:val="hu-HU"/>
        </w:rPr>
        <w:t>laws and practices stripping members of a certain group in society from the opportunity to express their political will. In fact</w:t>
      </w:r>
      <w:r w:rsidR="00A45A1B" w:rsidRPr="00301C11">
        <w:rPr>
          <w:rFonts w:asciiTheme="minorHAnsi" w:hAnsiTheme="minorHAnsi" w:cstheme="minorHAnsi"/>
          <w:sz w:val="23"/>
          <w:szCs w:val="23"/>
          <w:lang w:val="hu-HU"/>
        </w:rPr>
        <w:t>,</w:t>
      </w:r>
      <w:r w:rsidRPr="00301C11">
        <w:rPr>
          <w:rFonts w:asciiTheme="minorHAnsi" w:hAnsiTheme="minorHAnsi" w:cstheme="minorHAnsi"/>
          <w:sz w:val="23"/>
          <w:szCs w:val="23"/>
          <w:lang w:val="hu-HU"/>
        </w:rPr>
        <w:t xml:space="preserve"> such a discriminatory exclusion of people with disabilities damages the integrity of the electoral system and weakens the democratic legitimacy of public institutions.</w:t>
      </w:r>
    </w:p>
    <w:p w14:paraId="2B982F10" w14:textId="77777777" w:rsidR="005F0188" w:rsidRPr="00301C11" w:rsidRDefault="005F0188" w:rsidP="00E2757C">
      <w:pPr>
        <w:spacing w:line="240" w:lineRule="auto"/>
        <w:ind w:left="360" w:hanging="360"/>
        <w:jc w:val="both"/>
        <w:rPr>
          <w:rFonts w:asciiTheme="minorHAnsi" w:hAnsiTheme="minorHAnsi" w:cstheme="minorHAnsi"/>
          <w:sz w:val="23"/>
          <w:szCs w:val="23"/>
        </w:rPr>
      </w:pPr>
    </w:p>
    <w:p w14:paraId="6D2764C7" w14:textId="0C74EB9C" w:rsidR="00FB568C" w:rsidRPr="00301C11" w:rsidRDefault="72B17112" w:rsidP="00E2757C">
      <w:pPr>
        <w:pStyle w:val="ListParagraph"/>
        <w:numPr>
          <w:ilvl w:val="0"/>
          <w:numId w:val="1"/>
        </w:numPr>
        <w:spacing w:line="240" w:lineRule="auto"/>
        <w:ind w:left="360"/>
        <w:jc w:val="both"/>
        <w:rPr>
          <w:rFonts w:asciiTheme="minorHAnsi" w:hAnsiTheme="minorHAnsi" w:cstheme="minorHAnsi"/>
          <w:sz w:val="23"/>
          <w:szCs w:val="23"/>
        </w:rPr>
      </w:pPr>
      <w:r w:rsidRPr="00301C11">
        <w:rPr>
          <w:rFonts w:asciiTheme="minorHAnsi" w:hAnsiTheme="minorHAnsi" w:cstheme="minorHAnsi"/>
          <w:sz w:val="23"/>
          <w:szCs w:val="23"/>
        </w:rPr>
        <w:t xml:space="preserve">People with disabilities are recognised as a group whose rights are in need of particular protection (see </w:t>
      </w:r>
      <w:r w:rsidRPr="00301C11">
        <w:rPr>
          <w:rFonts w:asciiTheme="minorHAnsi" w:hAnsiTheme="minorHAnsi" w:cstheme="minorHAnsi"/>
          <w:i/>
          <w:iCs/>
          <w:sz w:val="23"/>
          <w:szCs w:val="23"/>
        </w:rPr>
        <w:t>Kiss v. Hungary</w:t>
      </w:r>
      <w:r w:rsidRPr="00301C11">
        <w:rPr>
          <w:rFonts w:asciiTheme="minorHAnsi" w:hAnsiTheme="minorHAnsi" w:cstheme="minorHAnsi"/>
          <w:sz w:val="23"/>
          <w:szCs w:val="23"/>
        </w:rPr>
        <w:t xml:space="preserve">). One essential way of protecting those rights is through their effective and full participation in political decision making which can be facilitated </w:t>
      </w:r>
      <w:r w:rsidRPr="00301C11">
        <w:rPr>
          <w:rFonts w:asciiTheme="minorHAnsi" w:hAnsiTheme="minorHAnsi" w:cstheme="minorHAnsi"/>
          <w:sz w:val="23"/>
          <w:szCs w:val="23"/>
          <w:lang w:val="cs-CZ"/>
        </w:rPr>
        <w:t>through the provision of accessibility measures and of reasonable accommodations.</w:t>
      </w:r>
    </w:p>
    <w:p w14:paraId="0C4F22ED" w14:textId="77777777" w:rsidR="00FB568C" w:rsidRPr="00301C11" w:rsidRDefault="00FB568C" w:rsidP="00E2757C">
      <w:pPr>
        <w:pStyle w:val="ListParagraph"/>
        <w:spacing w:line="240" w:lineRule="auto"/>
        <w:ind w:left="0"/>
        <w:jc w:val="both"/>
        <w:rPr>
          <w:rFonts w:asciiTheme="minorHAnsi" w:hAnsiTheme="minorHAnsi" w:cstheme="minorHAnsi"/>
          <w:bCs/>
          <w:sz w:val="23"/>
          <w:szCs w:val="23"/>
        </w:rPr>
      </w:pPr>
    </w:p>
    <w:p w14:paraId="60AD8D28" w14:textId="77777777" w:rsidR="00525668" w:rsidRPr="00301C11" w:rsidRDefault="00525668" w:rsidP="00602530">
      <w:pPr>
        <w:spacing w:line="240" w:lineRule="auto"/>
        <w:rPr>
          <w:rFonts w:asciiTheme="minorHAnsi" w:hAnsiTheme="minorHAnsi" w:cstheme="minorHAnsi"/>
          <w:sz w:val="23"/>
          <w:szCs w:val="23"/>
        </w:rPr>
      </w:pPr>
    </w:p>
    <w:p w14:paraId="3DD8BC6A" w14:textId="77777777" w:rsidR="008A66DB" w:rsidRPr="00301C11" w:rsidRDefault="72B17112" w:rsidP="72B17112">
      <w:pPr>
        <w:spacing w:line="240" w:lineRule="auto"/>
        <w:jc w:val="right"/>
        <w:rPr>
          <w:rFonts w:asciiTheme="minorHAnsi" w:hAnsiTheme="minorHAnsi" w:cstheme="minorHAnsi"/>
          <w:b/>
          <w:bCs/>
          <w:sz w:val="23"/>
          <w:szCs w:val="23"/>
          <w:lang w:val="en-US"/>
        </w:rPr>
      </w:pPr>
      <w:r w:rsidRPr="00301C11">
        <w:rPr>
          <w:rFonts w:asciiTheme="minorHAnsi" w:hAnsiTheme="minorHAnsi" w:cstheme="minorHAnsi"/>
          <w:b/>
          <w:bCs/>
          <w:sz w:val="23"/>
          <w:szCs w:val="23"/>
          <w:lang w:val="en-US"/>
        </w:rPr>
        <w:t>BARBARA MÉHES</w:t>
      </w:r>
    </w:p>
    <w:p w14:paraId="3EC11349" w14:textId="56948595" w:rsidR="008A66DB" w:rsidRPr="00301C11" w:rsidRDefault="72B17112" w:rsidP="72B17112">
      <w:pPr>
        <w:spacing w:line="240" w:lineRule="auto"/>
        <w:jc w:val="right"/>
        <w:rPr>
          <w:rFonts w:asciiTheme="minorHAnsi" w:hAnsiTheme="minorHAnsi" w:cstheme="minorHAnsi"/>
          <w:b/>
          <w:bCs/>
          <w:sz w:val="23"/>
          <w:szCs w:val="23"/>
          <w:lang w:val="en-US"/>
        </w:rPr>
      </w:pPr>
      <w:r w:rsidRPr="00301C11">
        <w:rPr>
          <w:rFonts w:asciiTheme="minorHAnsi" w:hAnsiTheme="minorHAnsi" w:cstheme="minorHAnsi"/>
          <w:b/>
          <w:bCs/>
          <w:sz w:val="23"/>
          <w:szCs w:val="23"/>
          <w:lang w:val="en-US"/>
        </w:rPr>
        <w:t>VALIDITY</w:t>
      </w:r>
    </w:p>
    <w:p w14:paraId="1AD577A1" w14:textId="77777777" w:rsidR="008A66DB" w:rsidRPr="00301C11" w:rsidRDefault="008A66DB" w:rsidP="008A66DB">
      <w:pPr>
        <w:spacing w:line="240" w:lineRule="auto"/>
        <w:jc w:val="right"/>
        <w:rPr>
          <w:rFonts w:asciiTheme="minorHAnsi" w:hAnsiTheme="minorHAnsi" w:cstheme="minorHAnsi"/>
          <w:b/>
          <w:bCs/>
          <w:sz w:val="23"/>
          <w:szCs w:val="23"/>
        </w:rPr>
      </w:pPr>
    </w:p>
    <w:p w14:paraId="674E22BC" w14:textId="77777777" w:rsidR="00525668" w:rsidRPr="00301C11" w:rsidRDefault="72B17112" w:rsidP="72B17112">
      <w:pPr>
        <w:spacing w:line="240" w:lineRule="auto"/>
        <w:jc w:val="right"/>
        <w:rPr>
          <w:rFonts w:asciiTheme="minorHAnsi" w:hAnsiTheme="minorHAnsi" w:cstheme="minorHAnsi"/>
          <w:b/>
          <w:bCs/>
          <w:sz w:val="23"/>
          <w:szCs w:val="23"/>
        </w:rPr>
      </w:pPr>
      <w:r w:rsidRPr="00301C11">
        <w:rPr>
          <w:rFonts w:asciiTheme="minorHAnsi" w:hAnsiTheme="minorHAnsi" w:cstheme="minorHAnsi"/>
          <w:b/>
          <w:bCs/>
          <w:sz w:val="23"/>
          <w:szCs w:val="23"/>
        </w:rPr>
        <w:t>CHRISTOPHER JOHNSON</w:t>
      </w:r>
    </w:p>
    <w:p w14:paraId="716A43CA" w14:textId="77777777" w:rsidR="00525668" w:rsidRPr="00301C11" w:rsidRDefault="72B17112" w:rsidP="72B17112">
      <w:pPr>
        <w:spacing w:line="240" w:lineRule="auto"/>
        <w:jc w:val="right"/>
        <w:rPr>
          <w:rFonts w:asciiTheme="minorHAnsi" w:hAnsiTheme="minorHAnsi" w:cstheme="minorHAnsi"/>
          <w:b/>
          <w:bCs/>
          <w:sz w:val="23"/>
          <w:szCs w:val="23"/>
        </w:rPr>
      </w:pPr>
      <w:r w:rsidRPr="00301C11">
        <w:rPr>
          <w:rFonts w:asciiTheme="minorHAnsi" w:hAnsiTheme="minorHAnsi" w:cstheme="minorHAnsi"/>
          <w:b/>
          <w:bCs/>
          <w:sz w:val="23"/>
          <w:szCs w:val="23"/>
        </w:rPr>
        <w:t>DOUGHTY STREET CHAMBERS</w:t>
      </w:r>
    </w:p>
    <w:p w14:paraId="6E1641DE" w14:textId="77777777" w:rsidR="00FB568C" w:rsidRPr="00301C11" w:rsidRDefault="00FB568C" w:rsidP="00BA3312">
      <w:pPr>
        <w:spacing w:line="240" w:lineRule="auto"/>
        <w:jc w:val="right"/>
        <w:rPr>
          <w:b/>
          <w:sz w:val="22"/>
        </w:rPr>
      </w:pPr>
    </w:p>
    <w:p w14:paraId="1DEBB7F2" w14:textId="77777777" w:rsidR="008A66DB" w:rsidRPr="00525668" w:rsidRDefault="008A66DB">
      <w:pPr>
        <w:spacing w:line="240" w:lineRule="auto"/>
        <w:jc w:val="right"/>
        <w:rPr>
          <w:b/>
          <w:bCs/>
        </w:rPr>
      </w:pPr>
    </w:p>
    <w:sectPr w:rsidR="008A66DB" w:rsidRPr="00525668" w:rsidSect="006F231A">
      <w:headerReference w:type="default" r:id="rId12"/>
      <w:footerReference w:type="default" r:id="rId13"/>
      <w:headerReference w:type="first" r:id="rId14"/>
      <w:pgSz w:w="11906" w:h="16838"/>
      <w:pgMar w:top="1440" w:right="1106"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258D1" w14:textId="77777777" w:rsidR="006D7B67" w:rsidRDefault="006D7B67" w:rsidP="00CB2B14">
      <w:pPr>
        <w:spacing w:line="240" w:lineRule="auto"/>
      </w:pPr>
      <w:r>
        <w:separator/>
      </w:r>
    </w:p>
  </w:endnote>
  <w:endnote w:type="continuationSeparator" w:id="0">
    <w:p w14:paraId="1B14ABA5" w14:textId="77777777" w:rsidR="006D7B67" w:rsidRDefault="006D7B67" w:rsidP="00CB2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497775"/>
      <w:docPartObj>
        <w:docPartGallery w:val="Page Numbers (Bottom of Page)"/>
        <w:docPartUnique/>
      </w:docPartObj>
    </w:sdtPr>
    <w:sdtEndPr/>
    <w:sdtContent>
      <w:p w14:paraId="6689D9E8" w14:textId="52406C49" w:rsidR="005931D0" w:rsidRDefault="005931D0">
        <w:pPr>
          <w:pStyle w:val="Footer"/>
          <w:jc w:val="center"/>
        </w:pPr>
        <w:r>
          <w:fldChar w:fldCharType="begin"/>
        </w:r>
        <w:r>
          <w:instrText xml:space="preserve"> PAGE   \* MERGEFORMAT </w:instrText>
        </w:r>
        <w:r>
          <w:fldChar w:fldCharType="separate"/>
        </w:r>
        <w:r w:rsidR="005B35CC">
          <w:rPr>
            <w:noProof/>
          </w:rPr>
          <w:t>10</w:t>
        </w:r>
        <w:r>
          <w:rPr>
            <w:noProof/>
          </w:rPr>
          <w:fldChar w:fldCharType="end"/>
        </w:r>
      </w:p>
    </w:sdtContent>
  </w:sdt>
  <w:p w14:paraId="31479509" w14:textId="77777777" w:rsidR="005931D0" w:rsidRDefault="0059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99D3E" w14:textId="77777777" w:rsidR="006D7B67" w:rsidRDefault="006D7B67" w:rsidP="00CB2B14">
      <w:pPr>
        <w:spacing w:line="240" w:lineRule="auto"/>
      </w:pPr>
      <w:r>
        <w:separator/>
      </w:r>
    </w:p>
  </w:footnote>
  <w:footnote w:type="continuationSeparator" w:id="0">
    <w:p w14:paraId="4B6B8E8F" w14:textId="77777777" w:rsidR="006D7B67" w:rsidRDefault="006D7B67" w:rsidP="00CB2B14">
      <w:pPr>
        <w:spacing w:line="240" w:lineRule="auto"/>
      </w:pPr>
      <w:r>
        <w:continuationSeparator/>
      </w:r>
    </w:p>
  </w:footnote>
  <w:footnote w:id="1">
    <w:p w14:paraId="32996587" w14:textId="77777777" w:rsidR="005931D0" w:rsidRPr="00301C11" w:rsidRDefault="005931D0" w:rsidP="72B17112">
      <w:pPr>
        <w:pStyle w:val="FootnoteText"/>
        <w:jc w:val="both"/>
        <w:rPr>
          <w:lang w:val="en-GB"/>
        </w:rPr>
      </w:pPr>
      <w:r w:rsidRPr="00301C11">
        <w:rPr>
          <w:vertAlign w:val="superscript"/>
          <w:lang w:val="en-GB"/>
        </w:rPr>
        <w:footnoteRef/>
      </w:r>
      <w:r w:rsidRPr="00301C11">
        <w:rPr>
          <w:lang w:val="en-GB"/>
        </w:rPr>
        <w:t xml:space="preserve"> </w:t>
      </w:r>
      <w:r w:rsidRPr="00301C11">
        <w:rPr>
          <w:i/>
          <w:iCs/>
          <w:lang w:val="en-GB"/>
        </w:rPr>
        <w:t>Hirst v. United Kingdom</w:t>
      </w:r>
      <w:r w:rsidRPr="00301C11">
        <w:rPr>
          <w:lang w:val="en-GB"/>
        </w:rPr>
        <w:t xml:space="preserve"> (No. 2), Application No. 74025/01, judgment 6 October 2005, paras. 58-59; </w:t>
      </w:r>
      <w:proofErr w:type="spellStart"/>
      <w:r w:rsidRPr="00301C11">
        <w:rPr>
          <w:i/>
          <w:iCs/>
          <w:lang w:val="en-GB"/>
        </w:rPr>
        <w:t>Scoppola</w:t>
      </w:r>
      <w:proofErr w:type="spellEnd"/>
      <w:r w:rsidRPr="00301C11">
        <w:rPr>
          <w:i/>
          <w:iCs/>
          <w:lang w:val="en-GB"/>
        </w:rPr>
        <w:t xml:space="preserve"> v. Italy</w:t>
      </w:r>
      <w:r w:rsidRPr="00301C11">
        <w:rPr>
          <w:lang w:val="en-GB"/>
        </w:rPr>
        <w:t xml:space="preserve"> (No. 3), judgment of 22 May 2012, para. 82.</w:t>
      </w:r>
    </w:p>
  </w:footnote>
  <w:footnote w:id="2">
    <w:p w14:paraId="41D8A7FC" w14:textId="77777777" w:rsidR="005931D0" w:rsidRPr="00301C11" w:rsidRDefault="005931D0" w:rsidP="72B17112">
      <w:pPr>
        <w:pStyle w:val="FootnoteText"/>
        <w:rPr>
          <w:lang w:val="hu-HU"/>
        </w:rPr>
      </w:pPr>
      <w:r w:rsidRPr="00301C11">
        <w:rPr>
          <w:rStyle w:val="FootnoteReference"/>
        </w:rPr>
        <w:footnoteRef/>
      </w:r>
      <w:r w:rsidRPr="00301C11">
        <w:t xml:space="preserve"> </w:t>
      </w:r>
      <w:r w:rsidRPr="00301C11">
        <w:rPr>
          <w:i/>
          <w:iCs/>
          <w:lang w:val="en-GB"/>
        </w:rPr>
        <w:t>Bowman v. UK</w:t>
      </w:r>
      <w:r w:rsidRPr="00301C11">
        <w:rPr>
          <w:lang w:val="en-GB"/>
        </w:rPr>
        <w:t>, Application No. 24839/94, judgment of 19 February 1998, para 42.</w:t>
      </w:r>
    </w:p>
  </w:footnote>
  <w:footnote w:id="3">
    <w:p w14:paraId="0BC31643" w14:textId="77777777" w:rsidR="005931D0" w:rsidRPr="00301C11" w:rsidRDefault="005931D0" w:rsidP="72B17112">
      <w:pPr>
        <w:pStyle w:val="FootnoteText"/>
        <w:jc w:val="both"/>
        <w:rPr>
          <w:rFonts w:ascii="Times New Roman" w:hAnsi="Times New Roman" w:cs="Times New Roman"/>
          <w:lang w:val="hu-HU"/>
        </w:rPr>
      </w:pPr>
      <w:r w:rsidRPr="00301C11">
        <w:rPr>
          <w:rStyle w:val="FootnoteReference"/>
        </w:rPr>
        <w:footnoteRef/>
      </w:r>
      <w:r w:rsidRPr="00301C11">
        <w:t xml:space="preserve"> “Who Gets to Decide: Right to legal capacity for persons with intellectual and psychosocial disabilities”, </w:t>
      </w:r>
      <w:proofErr w:type="spellStart"/>
      <w:r w:rsidRPr="00301C11">
        <w:t>CommDH</w:t>
      </w:r>
      <w:proofErr w:type="spellEnd"/>
      <w:r w:rsidRPr="00301C11">
        <w:t>/</w:t>
      </w:r>
      <w:proofErr w:type="spellStart"/>
      <w:r w:rsidRPr="00301C11">
        <w:t>IssuePaper</w:t>
      </w:r>
      <w:proofErr w:type="spellEnd"/>
      <w:r w:rsidRPr="00301C11">
        <w:t>(2012)2, published 20 February 2012 at para. 1.2.</w:t>
      </w:r>
    </w:p>
  </w:footnote>
  <w:footnote w:id="4">
    <w:p w14:paraId="05EF6033" w14:textId="00AB311B" w:rsidR="005931D0" w:rsidRPr="00301C11" w:rsidRDefault="005931D0">
      <w:pPr>
        <w:pStyle w:val="FootnoteText"/>
      </w:pPr>
      <w:r w:rsidRPr="00301C11">
        <w:rPr>
          <w:rStyle w:val="FootnoteReference"/>
        </w:rPr>
        <w:footnoteRef/>
      </w:r>
      <w:r w:rsidRPr="00301C11">
        <w:t xml:space="preserve"> Committee on the Rights of Persons with Disabilities, General comment on Article 12: Equal recognition before the law,</w:t>
      </w:r>
      <w:r w:rsidRPr="00301C11">
        <w:rPr>
          <w:rFonts w:ascii="Times New Roman" w:eastAsia="Times New Roman" w:hAnsi="Times New Roman" w:cs="Times New Roman"/>
          <w:lang w:val="en-GB"/>
        </w:rPr>
        <w:t xml:space="preserve"> </w:t>
      </w:r>
      <w:r w:rsidRPr="00301C11">
        <w:rPr>
          <w:lang w:val="en-GB"/>
        </w:rPr>
        <w:t xml:space="preserve">CRPD/C/11/4, </w:t>
      </w:r>
      <w:r w:rsidRPr="00301C11">
        <w:t>25 November 2013, para 44.</w:t>
      </w:r>
    </w:p>
  </w:footnote>
  <w:footnote w:id="5">
    <w:p w14:paraId="1B9E7A38" w14:textId="77777777" w:rsidR="005931D0" w:rsidRPr="00301C11" w:rsidRDefault="005931D0" w:rsidP="72B17112">
      <w:pPr>
        <w:pStyle w:val="FootnoteText"/>
        <w:jc w:val="both"/>
        <w:rPr>
          <w:lang w:val="en-GB"/>
        </w:rPr>
      </w:pPr>
      <w:r w:rsidRPr="00301C11">
        <w:rPr>
          <w:rStyle w:val="FootnoteReference"/>
        </w:rPr>
        <w:footnoteRef/>
      </w:r>
      <w:r w:rsidRPr="00301C11">
        <w:rPr>
          <w:lang w:val="en-GB"/>
        </w:rPr>
        <w:t xml:space="preserve"> CRPD Committee General Comment No. 1, Article 12: Equal recognition before the law, CRPD/C/GC/1 of 19 May 2014 at para. 8. </w:t>
      </w:r>
    </w:p>
  </w:footnote>
  <w:footnote w:id="6">
    <w:p w14:paraId="5C3A5E65" w14:textId="77777777" w:rsidR="005931D0" w:rsidRPr="00301C11" w:rsidRDefault="005931D0" w:rsidP="6B3CA9FC">
      <w:pPr>
        <w:pStyle w:val="FootnoteText"/>
        <w:jc w:val="both"/>
      </w:pPr>
      <w:r w:rsidRPr="00301C11">
        <w:rPr>
          <w:rStyle w:val="FootnoteReference"/>
        </w:rPr>
        <w:footnoteRef/>
      </w:r>
      <w:r w:rsidRPr="00301C11">
        <w:t xml:space="preserve"> See, among many other authorities, </w:t>
      </w:r>
      <w:proofErr w:type="spellStart"/>
      <w:r w:rsidRPr="00301C11">
        <w:rPr>
          <w:i/>
          <w:iCs/>
        </w:rPr>
        <w:t>Selmouni</w:t>
      </w:r>
      <w:proofErr w:type="spellEnd"/>
      <w:r w:rsidRPr="00301C11">
        <w:rPr>
          <w:i/>
          <w:iCs/>
        </w:rPr>
        <w:t xml:space="preserve"> v France</w:t>
      </w:r>
      <w:r w:rsidRPr="00301C11">
        <w:t xml:space="preserve"> (GC), Application No. 25803/94, judgment of July 28 1999, at para. 101.</w:t>
      </w:r>
    </w:p>
  </w:footnote>
  <w:footnote w:id="7">
    <w:p w14:paraId="7D38CDDD" w14:textId="77777777" w:rsidR="005931D0" w:rsidRPr="00301C11" w:rsidRDefault="005931D0" w:rsidP="6B3CA9FC">
      <w:pPr>
        <w:pStyle w:val="FootnoteText"/>
        <w:jc w:val="both"/>
      </w:pPr>
      <w:r w:rsidRPr="00301C11">
        <w:rPr>
          <w:rStyle w:val="FootnoteReference"/>
        </w:rPr>
        <w:footnoteRef/>
      </w:r>
      <w:r w:rsidRPr="00301C11">
        <w:t xml:space="preserve"> </w:t>
      </w:r>
      <w:proofErr w:type="spellStart"/>
      <w:r w:rsidRPr="00301C11">
        <w:rPr>
          <w:i/>
          <w:iCs/>
        </w:rPr>
        <w:t>Neulinger</w:t>
      </w:r>
      <w:proofErr w:type="spellEnd"/>
      <w:r w:rsidRPr="00301C11">
        <w:rPr>
          <w:i/>
          <w:iCs/>
        </w:rPr>
        <w:t xml:space="preserve"> and </w:t>
      </w:r>
      <w:proofErr w:type="spellStart"/>
      <w:r w:rsidRPr="00301C11">
        <w:rPr>
          <w:i/>
          <w:iCs/>
        </w:rPr>
        <w:t>Shuruk</w:t>
      </w:r>
      <w:proofErr w:type="spellEnd"/>
      <w:r w:rsidRPr="00301C11">
        <w:rPr>
          <w:i/>
          <w:iCs/>
        </w:rPr>
        <w:t xml:space="preserve"> v Switzerland, Application No. </w:t>
      </w:r>
      <w:r w:rsidRPr="00301C11">
        <w:t>41615/07, judgment of 6 July 2010 at para. 131.</w:t>
      </w:r>
    </w:p>
  </w:footnote>
  <w:footnote w:id="8">
    <w:p w14:paraId="2AE90A5C" w14:textId="77777777" w:rsidR="005931D0" w:rsidRPr="00301C11" w:rsidRDefault="005931D0" w:rsidP="6B3CA9FC">
      <w:pPr>
        <w:pStyle w:val="FootnoteText"/>
        <w:jc w:val="both"/>
      </w:pPr>
      <w:r w:rsidRPr="00301C11">
        <w:rPr>
          <w:rStyle w:val="FootnoteReference"/>
        </w:rPr>
        <w:footnoteRef/>
      </w:r>
      <w:r w:rsidRPr="00301C11">
        <w:t xml:space="preserve"> </w:t>
      </w:r>
      <w:r w:rsidRPr="00301C11">
        <w:rPr>
          <w:i/>
          <w:iCs/>
        </w:rPr>
        <w:t xml:space="preserve">Van der </w:t>
      </w:r>
      <w:proofErr w:type="spellStart"/>
      <w:r w:rsidRPr="00301C11">
        <w:rPr>
          <w:i/>
          <w:iCs/>
        </w:rPr>
        <w:t>Mussele</w:t>
      </w:r>
      <w:proofErr w:type="spellEnd"/>
      <w:r w:rsidRPr="00301C11">
        <w:rPr>
          <w:i/>
          <w:iCs/>
        </w:rPr>
        <w:t xml:space="preserve"> v Belgium</w:t>
      </w:r>
      <w:r w:rsidRPr="00301C11">
        <w:t>, Application No. 8919/80, judgment of 23 November 1983 at para. 32.</w:t>
      </w:r>
    </w:p>
  </w:footnote>
  <w:footnote w:id="9">
    <w:p w14:paraId="1CB8DC18" w14:textId="4EFC294C" w:rsidR="005931D0" w:rsidRPr="00301C11" w:rsidRDefault="005931D0" w:rsidP="6B3CA9FC">
      <w:pPr>
        <w:pStyle w:val="FootnoteText"/>
        <w:jc w:val="both"/>
      </w:pPr>
      <w:r w:rsidRPr="00301C11">
        <w:rPr>
          <w:rStyle w:val="FootnoteReference"/>
        </w:rPr>
        <w:footnoteRef/>
      </w:r>
      <w:r w:rsidRPr="00301C11">
        <w:t xml:space="preserve"> </w:t>
      </w:r>
      <w:proofErr w:type="spellStart"/>
      <w:r w:rsidRPr="00301C11">
        <w:rPr>
          <w:i/>
          <w:iCs/>
        </w:rPr>
        <w:t>Opuz</w:t>
      </w:r>
      <w:proofErr w:type="spellEnd"/>
      <w:r w:rsidRPr="00301C11">
        <w:rPr>
          <w:i/>
          <w:iCs/>
        </w:rPr>
        <w:t xml:space="preserve"> v. Turkey</w:t>
      </w:r>
      <w:r w:rsidRPr="00301C11">
        <w:t xml:space="preserve">, Application No. 33401/02, judgment of 9 June 2009 at para 164 where the Court refers to the UN Convention on the Elimination of All Forms of Discrimination Against Women as one such </w:t>
      </w:r>
      <w:proofErr w:type="spellStart"/>
      <w:r w:rsidRPr="00301C11">
        <w:t>specialised</w:t>
      </w:r>
      <w:proofErr w:type="spellEnd"/>
      <w:r w:rsidRPr="00301C11">
        <w:t xml:space="preserve"> instrument to which the Court will look.</w:t>
      </w:r>
    </w:p>
  </w:footnote>
  <w:footnote w:id="10">
    <w:p w14:paraId="0EF5A210" w14:textId="77777777" w:rsidR="005931D0" w:rsidRPr="00301C11" w:rsidRDefault="005931D0" w:rsidP="6B3CA9FC">
      <w:pPr>
        <w:pStyle w:val="FootnoteText"/>
        <w:jc w:val="both"/>
      </w:pPr>
      <w:r w:rsidRPr="00301C11">
        <w:rPr>
          <w:rStyle w:val="FootnoteReference"/>
        </w:rPr>
        <w:footnoteRef/>
      </w:r>
      <w:r w:rsidRPr="00301C11">
        <w:t xml:space="preserve"> See, amongst other authorities, </w:t>
      </w:r>
      <w:proofErr w:type="spellStart"/>
      <w:r w:rsidRPr="00301C11">
        <w:rPr>
          <w:i/>
          <w:iCs/>
        </w:rPr>
        <w:t>Glor</w:t>
      </w:r>
      <w:proofErr w:type="spellEnd"/>
      <w:r w:rsidRPr="00301C11">
        <w:rPr>
          <w:i/>
          <w:iCs/>
        </w:rPr>
        <w:t xml:space="preserve"> v Switzerland</w:t>
      </w:r>
      <w:r w:rsidRPr="00301C11">
        <w:t xml:space="preserve">, Application No.13444/04, judgment of 30 April 2009 at para. 53; </w:t>
      </w:r>
      <w:r w:rsidRPr="00301C11">
        <w:rPr>
          <w:i/>
          <w:iCs/>
        </w:rPr>
        <w:t>Kiss v Hungary</w:t>
      </w:r>
      <w:r w:rsidRPr="00301C11">
        <w:t xml:space="preserve">, Application No. 38832/06, judgment of 20 May 2010 at para. 14; </w:t>
      </w:r>
      <w:r w:rsidRPr="00301C11">
        <w:rPr>
          <w:i/>
          <w:iCs/>
        </w:rPr>
        <w:t>Seal v UK</w:t>
      </w:r>
      <w:r w:rsidRPr="00301C11">
        <w:t xml:space="preserve">, Application No. 50330/07, judgment of 7 December 2010 at paras 41-43; </w:t>
      </w:r>
      <w:proofErr w:type="spellStart"/>
      <w:r w:rsidRPr="00301C11">
        <w:t>S</w:t>
      </w:r>
      <w:r w:rsidRPr="00301C11">
        <w:rPr>
          <w:i/>
          <w:iCs/>
        </w:rPr>
        <w:t>tanev</w:t>
      </w:r>
      <w:proofErr w:type="spellEnd"/>
      <w:r w:rsidRPr="00301C11">
        <w:rPr>
          <w:i/>
          <w:iCs/>
        </w:rPr>
        <w:t xml:space="preserve"> v Bulgaria</w:t>
      </w:r>
      <w:r w:rsidRPr="00301C11">
        <w:t xml:space="preserve">, Application No. 36760/06, judgment of 17 January 2012 at para. 72; and </w:t>
      </w:r>
      <w:r w:rsidRPr="00301C11">
        <w:rPr>
          <w:i/>
          <w:iCs/>
        </w:rPr>
        <w:t>DD v Lithuania</w:t>
      </w:r>
      <w:r w:rsidRPr="00301C11">
        <w:t>, Application No. 13469/06, judgment of 14 February 2012, at para 84.</w:t>
      </w:r>
    </w:p>
  </w:footnote>
  <w:footnote w:id="11">
    <w:p w14:paraId="0C1D3690" w14:textId="2525ED20" w:rsidR="005931D0" w:rsidRPr="00301C11" w:rsidRDefault="005931D0" w:rsidP="00765E79">
      <w:pPr>
        <w:pStyle w:val="FootnoteText"/>
        <w:rPr>
          <w:lang w:val="hu-HU"/>
        </w:rPr>
      </w:pPr>
      <w:r w:rsidRPr="00301C11">
        <w:rPr>
          <w:rStyle w:val="FootnoteReference"/>
        </w:rPr>
        <w:footnoteRef/>
      </w:r>
      <w:r w:rsidRPr="00301C11">
        <w:t xml:space="preserve"> </w:t>
      </w:r>
      <w:r w:rsidRPr="00301C11">
        <w:rPr>
          <w:lang w:val="en-GB"/>
        </w:rPr>
        <w:t xml:space="preserve">PACE resolution 1642 (26/01/2009) </w:t>
      </w:r>
      <w:r w:rsidRPr="00301C11">
        <w:rPr>
          <w:rFonts w:cstheme="minorHAnsi"/>
        </w:rPr>
        <w:t>on “Access to rights for people with disabilities and their full and active participation in society</w:t>
      </w:r>
      <w:r w:rsidRPr="00301C11">
        <w:rPr>
          <w:rFonts w:cstheme="minorHAnsi"/>
          <w:i/>
          <w:iCs/>
        </w:rPr>
        <w:t>.</w:t>
      </w:r>
      <w:r w:rsidRPr="00301C11">
        <w:rPr>
          <w:rFonts w:cstheme="minorHAnsi"/>
        </w:rPr>
        <w:t>”</w:t>
      </w:r>
    </w:p>
  </w:footnote>
  <w:footnote w:id="12">
    <w:p w14:paraId="0ED108C0" w14:textId="444D1280" w:rsidR="005931D0" w:rsidRPr="00301C11" w:rsidRDefault="005931D0" w:rsidP="72B17112">
      <w:pPr>
        <w:pStyle w:val="FootnoteText"/>
        <w:rPr>
          <w:lang w:val="hu-HU"/>
        </w:rPr>
      </w:pPr>
      <w:r w:rsidRPr="00301C11">
        <w:rPr>
          <w:rStyle w:val="FootnoteReference"/>
        </w:rPr>
        <w:footnoteRef/>
      </w:r>
      <w:r w:rsidRPr="00301C11">
        <w:t xml:space="preserve"> PACE </w:t>
      </w:r>
      <w:r w:rsidRPr="00301C11">
        <w:rPr>
          <w:lang w:val="en-GB"/>
        </w:rPr>
        <w:t xml:space="preserve">resolution 2155 (2017) on </w:t>
      </w:r>
      <w:r w:rsidRPr="00301C11">
        <w:rPr>
          <w:rFonts w:cstheme="minorHAnsi"/>
        </w:rPr>
        <w:t>“The political rights of persons with disabilities: a democratic issue”</w:t>
      </w:r>
      <w:r w:rsidRPr="00301C11">
        <w:rPr>
          <w:lang w:val="en-GB"/>
        </w:rPr>
        <w:t>.</w:t>
      </w:r>
    </w:p>
  </w:footnote>
  <w:footnote w:id="13">
    <w:p w14:paraId="20E657B1" w14:textId="77777777" w:rsidR="005931D0" w:rsidRPr="00301C11" w:rsidRDefault="005931D0" w:rsidP="72B17112">
      <w:pPr>
        <w:pStyle w:val="FootnoteText"/>
        <w:rPr>
          <w:lang w:val="hu-HU"/>
        </w:rPr>
      </w:pPr>
      <w:r w:rsidRPr="00301C11">
        <w:rPr>
          <w:rStyle w:val="FootnoteReference"/>
        </w:rPr>
        <w:footnoteRef/>
      </w:r>
      <w:r w:rsidRPr="00301C11">
        <w:t xml:space="preserve"> </w:t>
      </w:r>
      <w:r w:rsidRPr="00301C11">
        <w:rPr>
          <w:lang w:val="hu-HU"/>
        </w:rPr>
        <w:t xml:space="preserve">Council of Europe Recommendation R(2006)5 of the Committee of Ministers to Members States on the Council of Europe Action Plan to promote </w:t>
      </w:r>
      <w:r w:rsidRPr="00301C11">
        <w:rPr>
          <w:lang w:val="en-GB"/>
        </w:rPr>
        <w:t>the rights and full participation of people with disabilities in society: improving the quality of life of people with disabilities in Europe 2006-2015, 5 April 2006, para 3. 3.1.3(iii).</w:t>
      </w:r>
    </w:p>
  </w:footnote>
  <w:footnote w:id="14">
    <w:p w14:paraId="2002CC03" w14:textId="77777777" w:rsidR="005931D0" w:rsidRPr="00301C11" w:rsidRDefault="005931D0" w:rsidP="72B17112">
      <w:pPr>
        <w:pStyle w:val="FootnoteText"/>
        <w:tabs>
          <w:tab w:val="left" w:pos="90"/>
        </w:tabs>
        <w:rPr>
          <w:lang w:val="hu-HU"/>
        </w:rPr>
      </w:pPr>
      <w:r w:rsidRPr="00301C11">
        <w:rPr>
          <w:rStyle w:val="FootnoteReference"/>
        </w:rPr>
        <w:footnoteRef/>
      </w:r>
      <w:r w:rsidRPr="00301C11">
        <w:t xml:space="preserve"> </w:t>
      </w:r>
      <w:r w:rsidRPr="00301C11">
        <w:rPr>
          <w:lang w:val="en-GB"/>
        </w:rPr>
        <w:t xml:space="preserve">European Commission for Democracy through Law (Venice Commission), </w:t>
      </w:r>
      <w:bookmarkStart w:id="2" w:name="_Hlk503625652"/>
      <w:r w:rsidRPr="00301C11">
        <w:rPr>
          <w:lang w:val="en-GB"/>
        </w:rPr>
        <w:t>Revised interpretative declaration to</w:t>
      </w:r>
      <w:bookmarkEnd w:id="2"/>
      <w:r w:rsidRPr="00301C11">
        <w:rPr>
          <w:lang w:val="en-GB"/>
        </w:rPr>
        <w:t xml:space="preserve"> the Code of Good Practice in Electoral Matters on the Participation of People with Disabilities in Elections, 19 December 2011, CDL-AD(2011)045).</w:t>
      </w:r>
    </w:p>
  </w:footnote>
  <w:footnote w:id="15">
    <w:p w14:paraId="495F3847" w14:textId="2E8AF8E0" w:rsidR="005931D0" w:rsidRPr="00301C11" w:rsidRDefault="005931D0">
      <w:pPr>
        <w:pStyle w:val="FootnoteText"/>
      </w:pPr>
      <w:r w:rsidRPr="00301C11">
        <w:rPr>
          <w:rStyle w:val="FootnoteReference"/>
        </w:rPr>
        <w:footnoteRef/>
      </w:r>
      <w:r w:rsidRPr="00301C11">
        <w:t xml:space="preserve"> Statement</w:t>
      </w:r>
      <w:r w:rsidRPr="00301C11">
        <w:rPr>
          <w:rFonts w:cstheme="minorHAnsi"/>
        </w:rPr>
        <w:t xml:space="preserve"> entitled “</w:t>
      </w:r>
      <w:r w:rsidRPr="00301C11">
        <w:rPr>
          <w:rFonts w:cstheme="minorHAnsi"/>
          <w:i/>
          <w:iCs/>
        </w:rPr>
        <w:t>Persons with disabilities must not be denied the right to vote</w:t>
      </w:r>
      <w:r w:rsidRPr="00301C11">
        <w:rPr>
          <w:rFonts w:cstheme="minorHAnsi"/>
        </w:rPr>
        <w:t>”.</w:t>
      </w:r>
    </w:p>
  </w:footnote>
  <w:footnote w:id="16">
    <w:p w14:paraId="11073BBE" w14:textId="77777777" w:rsidR="005931D0" w:rsidRPr="00301C11" w:rsidRDefault="005931D0" w:rsidP="46C4C9A0">
      <w:pPr>
        <w:pStyle w:val="FootnoteText"/>
        <w:jc w:val="both"/>
      </w:pPr>
      <w:r w:rsidRPr="00301C11">
        <w:rPr>
          <w:rStyle w:val="FootnoteReference"/>
        </w:rPr>
        <w:footnoteRef/>
      </w:r>
      <w:r w:rsidRPr="00301C11">
        <w:t xml:space="preserve"> See, amongst other authorities, </w:t>
      </w:r>
      <w:proofErr w:type="spellStart"/>
      <w:r w:rsidRPr="00301C11">
        <w:rPr>
          <w:i/>
          <w:iCs/>
        </w:rPr>
        <w:t>Glor</w:t>
      </w:r>
      <w:proofErr w:type="spellEnd"/>
      <w:r w:rsidRPr="00301C11">
        <w:rPr>
          <w:i/>
          <w:iCs/>
        </w:rPr>
        <w:t xml:space="preserve"> v Switzerland</w:t>
      </w:r>
      <w:r w:rsidRPr="00301C11">
        <w:rPr>
          <w:rFonts w:eastAsiaTheme="minorEastAsia"/>
        </w:rPr>
        <w:t xml:space="preserve">, </w:t>
      </w:r>
      <w:r w:rsidRPr="00301C11">
        <w:t xml:space="preserve">Application No. 13444/04, </w:t>
      </w:r>
      <w:bookmarkStart w:id="3" w:name="_Hlk503628095"/>
      <w:r w:rsidRPr="00301C11">
        <w:t xml:space="preserve">judgment of 30 April 2009, para. 53. </w:t>
      </w:r>
    </w:p>
    <w:bookmarkEnd w:id="3"/>
  </w:footnote>
  <w:footnote w:id="17">
    <w:p w14:paraId="3579A30D" w14:textId="77777777" w:rsidR="005931D0" w:rsidRPr="00301C11" w:rsidRDefault="005931D0" w:rsidP="46C4C9A0">
      <w:pPr>
        <w:pStyle w:val="FootnoteText"/>
        <w:jc w:val="both"/>
      </w:pPr>
      <w:r w:rsidRPr="00301C11">
        <w:rPr>
          <w:rStyle w:val="FootnoteReference"/>
        </w:rPr>
        <w:footnoteRef/>
      </w:r>
      <w:r w:rsidRPr="00301C11">
        <w:t xml:space="preserve"> </w:t>
      </w:r>
      <w:hyperlink r:id="rId1" w:history="1">
        <w:r w:rsidRPr="00301C11">
          <w:rPr>
            <w:rStyle w:val="Hyperlink"/>
          </w:rPr>
          <w:t>Letter from the UN Special Rapporteur on Disability to Members of the UN Human Rights Committee</w:t>
        </w:r>
      </w:hyperlink>
      <w:r w:rsidRPr="00301C11">
        <w:t xml:space="preserve">, re: General Comment No. 35 (CCPR/C/107/R.3) on Article 9 (right to liberty and security of person), 27 May 2014. </w:t>
      </w:r>
    </w:p>
  </w:footnote>
  <w:footnote w:id="18">
    <w:p w14:paraId="1E3F5DCA" w14:textId="77777777" w:rsidR="005931D0" w:rsidRPr="00301C11" w:rsidRDefault="005931D0" w:rsidP="46C4C9A0">
      <w:pPr>
        <w:pStyle w:val="FootnoteText"/>
        <w:jc w:val="both"/>
      </w:pPr>
      <w:r w:rsidRPr="00301C11">
        <w:rPr>
          <w:rStyle w:val="FootnoteReference"/>
        </w:rPr>
        <w:footnoteRef/>
      </w:r>
      <w:r w:rsidRPr="00301C11">
        <w:t xml:space="preserve"> </w:t>
      </w:r>
      <w:proofErr w:type="spellStart"/>
      <w:r w:rsidRPr="00301C11">
        <w:rPr>
          <w:i/>
          <w:iCs/>
          <w:lang w:val="en-GB"/>
        </w:rPr>
        <w:t>Glor</w:t>
      </w:r>
      <w:proofErr w:type="spellEnd"/>
      <w:r w:rsidRPr="00301C11">
        <w:rPr>
          <w:i/>
          <w:iCs/>
          <w:lang w:val="en-GB"/>
        </w:rPr>
        <w:t xml:space="preserve"> v Switzerland</w:t>
      </w:r>
      <w:r w:rsidRPr="00301C11">
        <w:rPr>
          <w:lang w:val="en-GB"/>
        </w:rPr>
        <w:t xml:space="preserve">, Application No. 13444/04, </w:t>
      </w:r>
      <w:r w:rsidRPr="00301C11">
        <w:t xml:space="preserve">judgment of 30 April 2009, para. 53. </w:t>
      </w:r>
    </w:p>
  </w:footnote>
  <w:footnote w:id="19">
    <w:p w14:paraId="79FEF716" w14:textId="2445906F" w:rsidR="005931D0" w:rsidRPr="00301C11" w:rsidRDefault="005931D0" w:rsidP="72B17112">
      <w:pPr>
        <w:spacing w:line="240" w:lineRule="auto"/>
        <w:jc w:val="both"/>
        <w:rPr>
          <w:rFonts w:asciiTheme="minorHAnsi" w:hAnsiTheme="minorHAnsi"/>
          <w:sz w:val="20"/>
          <w:szCs w:val="20"/>
        </w:rPr>
      </w:pPr>
      <w:r w:rsidRPr="00301C11">
        <w:rPr>
          <w:rStyle w:val="FootnoteReference"/>
          <w:rFonts w:asciiTheme="minorHAnsi" w:hAnsiTheme="minorHAnsi"/>
          <w:sz w:val="20"/>
          <w:szCs w:val="20"/>
        </w:rPr>
        <w:footnoteRef/>
      </w:r>
      <w:r w:rsidRPr="00301C11">
        <w:rPr>
          <w:rFonts w:asciiTheme="minorHAnsi" w:hAnsiTheme="minorHAnsi"/>
          <w:sz w:val="20"/>
          <w:szCs w:val="20"/>
        </w:rPr>
        <w:t xml:space="preserve"> </w:t>
      </w:r>
      <w:r w:rsidRPr="00301C11">
        <w:rPr>
          <w:rStyle w:val="sb8d990e2"/>
          <w:rFonts w:asciiTheme="minorHAnsi" w:hAnsiTheme="minorHAnsi"/>
          <w:i/>
          <w:iCs/>
          <w:sz w:val="20"/>
          <w:szCs w:val="20"/>
        </w:rPr>
        <w:t xml:space="preserve">AN v Lithuania, </w:t>
      </w:r>
      <w:r w:rsidRPr="00301C11">
        <w:rPr>
          <w:rStyle w:val="sb8d990e2"/>
          <w:rFonts w:asciiTheme="minorHAnsi" w:hAnsiTheme="minorHAnsi"/>
          <w:sz w:val="20"/>
          <w:szCs w:val="20"/>
        </w:rPr>
        <w:t xml:space="preserve">Application No. 17280/08, judgment of </w:t>
      </w:r>
      <w:r w:rsidRPr="00301C11">
        <w:rPr>
          <w:rFonts w:asciiTheme="minorHAnsi" w:hAnsiTheme="minorHAnsi"/>
          <w:sz w:val="20"/>
          <w:szCs w:val="20"/>
        </w:rPr>
        <w:t>31 May 2016.</w:t>
      </w:r>
    </w:p>
  </w:footnote>
  <w:footnote w:id="20">
    <w:p w14:paraId="7ADC55BE" w14:textId="77777777" w:rsidR="005931D0" w:rsidRPr="00301C11" w:rsidRDefault="005931D0" w:rsidP="005931D0">
      <w:pPr>
        <w:pStyle w:val="FootnoteText"/>
      </w:pPr>
      <w:r w:rsidRPr="00301C11">
        <w:rPr>
          <w:rStyle w:val="FootnoteReference"/>
        </w:rPr>
        <w:footnoteRef/>
      </w:r>
      <w:r w:rsidRPr="00301C11">
        <w:t xml:space="preserve"> See also Articles 4(3) and 33(3).</w:t>
      </w:r>
    </w:p>
  </w:footnote>
  <w:footnote w:id="21">
    <w:p w14:paraId="204443F2" w14:textId="77777777" w:rsidR="005931D0" w:rsidRPr="00301C11" w:rsidRDefault="005931D0" w:rsidP="72B17112">
      <w:pPr>
        <w:pStyle w:val="FootnoteText"/>
        <w:rPr>
          <w:lang w:val="hu-HU"/>
        </w:rPr>
      </w:pPr>
      <w:r w:rsidRPr="00301C11">
        <w:rPr>
          <w:rStyle w:val="FootnoteReference"/>
        </w:rPr>
        <w:footnoteRef/>
      </w:r>
      <w:r w:rsidRPr="00301C11">
        <w:t xml:space="preserve"> Committee on the Rights of Persons with Disabilities, General comment on Article 12: Equal recognition before the law,</w:t>
      </w:r>
      <w:r w:rsidRPr="00301C11">
        <w:rPr>
          <w:rFonts w:ascii="Times New Roman" w:eastAsia="Times New Roman" w:hAnsi="Times New Roman" w:cs="Times New Roman"/>
          <w:lang w:val="en-GB"/>
        </w:rPr>
        <w:t xml:space="preserve"> </w:t>
      </w:r>
      <w:r w:rsidRPr="00301C11">
        <w:rPr>
          <w:lang w:val="en-GB"/>
        </w:rPr>
        <w:t xml:space="preserve">CRPD/C/11/4, </w:t>
      </w:r>
      <w:r w:rsidRPr="00301C11">
        <w:t>25 November 2013, para 44.</w:t>
      </w:r>
    </w:p>
  </w:footnote>
  <w:footnote w:id="22">
    <w:p w14:paraId="5158ED84" w14:textId="77777777" w:rsidR="005931D0" w:rsidRPr="00301C11" w:rsidRDefault="005931D0" w:rsidP="72B17112">
      <w:pPr>
        <w:pStyle w:val="FootnoteText"/>
        <w:rPr>
          <w:lang w:val="en-GB"/>
        </w:rPr>
      </w:pPr>
      <w:r w:rsidRPr="00301C11">
        <w:rPr>
          <w:rStyle w:val="FootnoteReference"/>
        </w:rPr>
        <w:footnoteRef/>
      </w:r>
      <w:r w:rsidRPr="00301C11">
        <w:t xml:space="preserve"> UN Committee on the Rights of Persons with Disabilities, </w:t>
      </w:r>
      <w:proofErr w:type="spellStart"/>
      <w:r w:rsidRPr="00301C11">
        <w:rPr>
          <w:i/>
          <w:iCs/>
        </w:rPr>
        <w:t>Bujdosó</w:t>
      </w:r>
      <w:proofErr w:type="spellEnd"/>
      <w:r w:rsidRPr="00301C11">
        <w:rPr>
          <w:i/>
          <w:iCs/>
        </w:rPr>
        <w:t xml:space="preserve"> and 5 others v. Hungary</w:t>
      </w:r>
      <w:r w:rsidRPr="00301C11">
        <w:t>, CRPD/C/10/D/4/2011, 16 October 2013, para. 9.4.</w:t>
      </w:r>
    </w:p>
  </w:footnote>
  <w:footnote w:id="23">
    <w:p w14:paraId="04B945CB" w14:textId="14C03318" w:rsidR="005931D0" w:rsidRPr="00301C11" w:rsidRDefault="005931D0" w:rsidP="72B17112">
      <w:pPr>
        <w:pStyle w:val="FootnoteText"/>
        <w:rPr>
          <w:lang w:val="hu-HU"/>
        </w:rPr>
      </w:pPr>
      <w:r w:rsidRPr="00301C11">
        <w:rPr>
          <w:rStyle w:val="FootnoteReference"/>
        </w:rPr>
        <w:footnoteRef/>
      </w:r>
      <w:r w:rsidRPr="00301C11">
        <w:t xml:space="preserve"> Human Rights Council, Report of the Special Rapporteur on the rights of persons with disabilities, A/HRC/31/62, 12 January 201, para 19.</w:t>
      </w:r>
    </w:p>
  </w:footnote>
  <w:footnote w:id="24">
    <w:p w14:paraId="4012D836" w14:textId="06922D69" w:rsidR="005931D0" w:rsidRPr="00301C11" w:rsidRDefault="005931D0" w:rsidP="009C1608">
      <w:pPr>
        <w:pStyle w:val="FootnoteText"/>
        <w:jc w:val="both"/>
        <w:rPr>
          <w:lang w:val="hu-HU"/>
        </w:rPr>
      </w:pPr>
      <w:r w:rsidRPr="00301C11">
        <w:rPr>
          <w:rStyle w:val="FootnoteReference"/>
        </w:rPr>
        <w:footnoteRef/>
      </w:r>
      <w:r w:rsidRPr="00301C11">
        <w:t xml:space="preserve"> </w:t>
      </w:r>
      <w:r w:rsidRPr="00301C11">
        <w:rPr>
          <w:lang w:val="hu-HU"/>
        </w:rPr>
        <w:t>Sándor Gurbai: The</w:t>
      </w:r>
      <w:r w:rsidRPr="00301C11">
        <w:rPr>
          <w:rFonts w:ascii="Times New Roman" w:hAnsi="Times New Roman"/>
          <w:lang w:val="hu-HU"/>
        </w:rPr>
        <w:t xml:space="preserve"> </w:t>
      </w:r>
      <w:r w:rsidRPr="00301C11">
        <w:rPr>
          <w:lang w:val="hu-HU"/>
        </w:rPr>
        <w:t>right to vote of adults placed under guardianship in the light of international law, European regional law and comparative public law</w:t>
      </w:r>
      <w:r w:rsidRPr="00301C11">
        <w:t xml:space="preserve">, abstract of Ph.D. thesis, available here: </w:t>
      </w:r>
      <w:hyperlink r:id="rId2" w:history="1">
        <w:r w:rsidRPr="00301C11">
          <w:rPr>
            <w:rStyle w:val="Hyperlink"/>
          </w:rPr>
          <w:t>https://jak.ppke.hu/uploads/articles/12332/file/Gurbai_tezisek_final_ENG.pdf</w:t>
        </w:r>
      </w:hyperlink>
      <w:r w:rsidRPr="00301C11">
        <w:t xml:space="preserve">, para xxiii., </w:t>
      </w:r>
      <w:r w:rsidRPr="00301C11">
        <w:rPr>
          <w:lang w:val="hu-HU"/>
        </w:rPr>
        <w:t xml:space="preserve">page 8. Gurbai lists Austria, Cyprus, Croatia, Iceland, Ireland, Italy, Latvia, Netherlands, Norway, Sweden, and the United Kingdom. </w:t>
      </w:r>
      <w:r w:rsidRPr="00301C11">
        <w:t xml:space="preserve">For details see, for example, Initial reports submitted by States parties under article 35 of the Convention, Austria, </w:t>
      </w:r>
      <w:r w:rsidRPr="00301C11">
        <w:rPr>
          <w:lang w:val="en-GB"/>
        </w:rPr>
        <w:t xml:space="preserve">CRPD/C/AUT/1, 10 October 2011; Initial reports of States parties due in 2011, United Kingdom of Great Britain and Northern Ireland, CRPD/C/GBR/1, 3 July 2013; </w:t>
      </w:r>
      <w:bookmarkStart w:id="4" w:name="_Hlk503865629"/>
      <w:r w:rsidRPr="00301C11">
        <w:rPr>
          <w:lang w:val="en-GB"/>
        </w:rPr>
        <w:t xml:space="preserve">MDAC: Croatia lifts voting prohibition for people with disabilities, </w:t>
      </w:r>
      <w:bookmarkEnd w:id="4"/>
      <w:r w:rsidRPr="00301C11">
        <w:rPr>
          <w:lang w:val="en-GB"/>
        </w:rPr>
        <w:t xml:space="preserve">Consideration of reports submitted by States parties under article 35 of the Convention; Initial reports of States parties due in 2015, Norway, CRPD/C/NOR/1, </w:t>
      </w:r>
      <w:r w:rsidRPr="00301C11">
        <w:t>7 December 2015.</w:t>
      </w:r>
    </w:p>
  </w:footnote>
  <w:footnote w:id="25">
    <w:p w14:paraId="78B85AD5" w14:textId="6DD764C7" w:rsidR="005931D0" w:rsidRPr="00301C11" w:rsidRDefault="005931D0" w:rsidP="72B17112">
      <w:pPr>
        <w:pStyle w:val="FootnoteText"/>
        <w:jc w:val="both"/>
        <w:rPr>
          <w:lang w:val="hu-HU"/>
        </w:rPr>
      </w:pPr>
      <w:r w:rsidRPr="00301C11">
        <w:rPr>
          <w:rStyle w:val="FootnoteReference"/>
        </w:rPr>
        <w:footnoteRef/>
      </w:r>
      <w:r w:rsidRPr="00301C11">
        <w:t xml:space="preserve"> </w:t>
      </w:r>
      <w:r w:rsidRPr="00301C11">
        <w:rPr>
          <w:lang w:val="hu-HU"/>
        </w:rPr>
        <w:t>Ibid.</w:t>
      </w:r>
    </w:p>
  </w:footnote>
  <w:footnote w:id="26">
    <w:p w14:paraId="57520825" w14:textId="77777777" w:rsidR="005931D0" w:rsidRPr="00301C11" w:rsidRDefault="005931D0" w:rsidP="00BB6E8D">
      <w:pPr>
        <w:pStyle w:val="FootnoteText"/>
        <w:rPr>
          <w:lang w:val="hu-HU"/>
        </w:rPr>
      </w:pPr>
      <w:r w:rsidRPr="00301C11">
        <w:rPr>
          <w:rStyle w:val="FootnoteReference"/>
        </w:rPr>
        <w:footnoteRef/>
      </w:r>
      <w:r w:rsidRPr="00301C11">
        <w:t xml:space="preserve"> Sándor Gurbai, The Right to vote of adults placed under guardianship in the light of international law, European regional law and comparative public law, Ph.D. thesis, pages 118 and 122, Consideration of reports submitted by States parties under article 35 of the Convention, Initial reports of States parties due in 2011, United Kingdom of Great Britain and Northern Ireland, CRPD/C/GBR/1, 3 July 2013, para 318.</w:t>
      </w:r>
    </w:p>
  </w:footnote>
  <w:footnote w:id="27">
    <w:p w14:paraId="20704A6A" w14:textId="762E0325" w:rsidR="005931D0" w:rsidRPr="00301C11" w:rsidRDefault="005931D0">
      <w:pPr>
        <w:pStyle w:val="FootnoteText"/>
      </w:pPr>
      <w:r w:rsidRPr="00301C11">
        <w:rPr>
          <w:rStyle w:val="FootnoteReference"/>
        </w:rPr>
        <w:footnoteRef/>
      </w:r>
      <w:r w:rsidRPr="00301C11">
        <w:t xml:space="preserve"> Article XXIII (6) of the Fundamental Law of Hungary of 25 April 2011 and Act XXXVI of 2013 on Electoral Procedure. </w:t>
      </w:r>
    </w:p>
  </w:footnote>
  <w:footnote w:id="28">
    <w:p w14:paraId="3EEE4C23" w14:textId="77777777" w:rsidR="005931D0" w:rsidRPr="00301C11" w:rsidRDefault="005931D0" w:rsidP="72B17112">
      <w:pPr>
        <w:pStyle w:val="FootnoteText"/>
        <w:rPr>
          <w:lang w:val="hu-HU"/>
        </w:rPr>
      </w:pPr>
      <w:r w:rsidRPr="00301C11">
        <w:rPr>
          <w:rStyle w:val="FootnoteReference"/>
        </w:rPr>
        <w:footnoteRef/>
      </w:r>
      <w:r w:rsidRPr="00301C11">
        <w:t xml:space="preserve"> </w:t>
      </w:r>
      <w:r w:rsidRPr="00301C11">
        <w:rPr>
          <w:lang w:val="en-GB"/>
        </w:rPr>
        <w:t>Concluding observations on the initial report of Hungary, Addendum, Information received from Hungary on follow-up to the concluding observations, CRPD/C/HUN/CO/1/Add.1, 23 November 2017, p</w:t>
      </w:r>
      <w:r w:rsidRPr="00301C11">
        <w:rPr>
          <w:lang w:val="hu-HU"/>
        </w:rPr>
        <w:t>ara 31.</w:t>
      </w:r>
    </w:p>
  </w:footnote>
  <w:footnote w:id="29">
    <w:p w14:paraId="5FDE0E0E" w14:textId="01636D9F" w:rsidR="005931D0" w:rsidRPr="00301C11" w:rsidRDefault="005931D0" w:rsidP="72B17112">
      <w:pPr>
        <w:pStyle w:val="FootnoteText"/>
        <w:rPr>
          <w:lang w:val="en-GB"/>
        </w:rPr>
      </w:pPr>
      <w:r w:rsidRPr="00301C11">
        <w:rPr>
          <w:rStyle w:val="FootnoteReference"/>
        </w:rPr>
        <w:footnoteRef/>
      </w:r>
      <w:r w:rsidRPr="00301C11">
        <w:t xml:space="preserve"> </w:t>
      </w:r>
      <w:r w:rsidRPr="00301C11">
        <w:rPr>
          <w:lang w:val="en-GB"/>
        </w:rPr>
        <w:t>CRPD Committee, Concluding Observations on the initial periodic report of Hungary, adopted by the Committee at its eighth session (17</w:t>
      </w:r>
      <w:r w:rsidRPr="00301C11">
        <w:rPr>
          <w:lang w:val="en-GB"/>
        </w:rPr>
        <w:noBreakHyphen/>
        <w:t>28 September 2012), CRPD/C/HUN/CO/1, 22 October 2012, para 45.</w:t>
      </w:r>
    </w:p>
  </w:footnote>
  <w:footnote w:id="30">
    <w:p w14:paraId="364CA0CA" w14:textId="77777777" w:rsidR="005931D0" w:rsidRPr="00301C11" w:rsidRDefault="005931D0" w:rsidP="00473A47">
      <w:pPr>
        <w:pStyle w:val="FootnoteText"/>
        <w:rPr>
          <w:lang w:val="hu-HU"/>
        </w:rPr>
      </w:pPr>
      <w:r w:rsidRPr="00301C11">
        <w:rPr>
          <w:rStyle w:val="FootnoteReference"/>
        </w:rPr>
        <w:footnoteRef/>
      </w:r>
      <w:r w:rsidRPr="00301C11">
        <w:t xml:space="preserve"> </w:t>
      </w:r>
      <w:r w:rsidRPr="00301C11">
        <w:rPr>
          <w:lang w:val="hu-HU"/>
        </w:rPr>
        <w:t xml:space="preserve">The Constitutional Court of the Czech Republic, decision no. IV.ÚS 3102/08 of 12 July 2010. </w:t>
      </w:r>
    </w:p>
  </w:footnote>
  <w:footnote w:id="31">
    <w:p w14:paraId="0CFE5494" w14:textId="247308E1" w:rsidR="005931D0" w:rsidRPr="00301C11" w:rsidRDefault="005931D0" w:rsidP="72B17112">
      <w:pPr>
        <w:pStyle w:val="FootnoteText"/>
        <w:rPr>
          <w:lang w:val="hu-HU"/>
        </w:rPr>
      </w:pPr>
      <w:r w:rsidRPr="00301C11">
        <w:rPr>
          <w:rStyle w:val="FootnoteReference"/>
        </w:rPr>
        <w:footnoteRef/>
      </w:r>
      <w:r w:rsidRPr="00301C11">
        <w:t xml:space="preserve"> List of issues in relation to the initial report of the Czech Republic, Addendum, Replies of the Czech Republic to the list of issues, CRPD/C/CZE/Q/1/Add.1, 30 January 2015, para 160-167.</w:t>
      </w:r>
    </w:p>
  </w:footnote>
  <w:footnote w:id="32">
    <w:p w14:paraId="0A812F38" w14:textId="6BC131C3" w:rsidR="005931D0" w:rsidRPr="00301C11" w:rsidRDefault="005931D0">
      <w:pPr>
        <w:pStyle w:val="FootnoteText"/>
      </w:pPr>
      <w:r w:rsidRPr="00301C11">
        <w:rPr>
          <w:rStyle w:val="FootnoteReference"/>
        </w:rPr>
        <w:footnoteRef/>
      </w:r>
      <w:r w:rsidRPr="00301C11">
        <w:t xml:space="preserve"> </w:t>
      </w:r>
      <w:r w:rsidRPr="00301C11">
        <w:rPr>
          <w:lang w:val="en-GB"/>
        </w:rPr>
        <w:t xml:space="preserve">Footnote: Rapport initial </w:t>
      </w:r>
      <w:proofErr w:type="spellStart"/>
      <w:r w:rsidRPr="00301C11">
        <w:rPr>
          <w:lang w:val="en-GB"/>
        </w:rPr>
        <w:t>soumis</w:t>
      </w:r>
      <w:proofErr w:type="spellEnd"/>
      <w:r w:rsidRPr="00301C11">
        <w:rPr>
          <w:lang w:val="en-GB"/>
        </w:rPr>
        <w:t xml:space="preserve"> par la France </w:t>
      </w:r>
      <w:proofErr w:type="spellStart"/>
      <w:r w:rsidRPr="00301C11">
        <w:rPr>
          <w:lang w:val="en-GB"/>
        </w:rPr>
        <w:t>en</w:t>
      </w:r>
      <w:proofErr w:type="spellEnd"/>
      <w:r w:rsidRPr="00301C11">
        <w:rPr>
          <w:lang w:val="en-GB"/>
        </w:rPr>
        <w:t xml:space="preserve"> application de </w:t>
      </w:r>
      <w:proofErr w:type="spellStart"/>
      <w:r w:rsidRPr="00301C11">
        <w:rPr>
          <w:lang w:val="en-GB"/>
        </w:rPr>
        <w:t>l’article</w:t>
      </w:r>
      <w:proofErr w:type="spellEnd"/>
      <w:r w:rsidRPr="00301C11">
        <w:rPr>
          <w:lang w:val="en-GB"/>
        </w:rPr>
        <w:t xml:space="preserve"> 35 de la Convention, </w:t>
      </w:r>
      <w:proofErr w:type="spellStart"/>
      <w:r w:rsidRPr="00301C11">
        <w:rPr>
          <w:lang w:val="en-GB"/>
        </w:rPr>
        <w:t>attendu</w:t>
      </w:r>
      <w:proofErr w:type="spellEnd"/>
      <w:r w:rsidRPr="00301C11">
        <w:rPr>
          <w:lang w:val="en-GB"/>
        </w:rPr>
        <w:t xml:space="preserve"> </w:t>
      </w:r>
      <w:proofErr w:type="spellStart"/>
      <w:r w:rsidRPr="00301C11">
        <w:rPr>
          <w:lang w:val="en-GB"/>
        </w:rPr>
        <w:t>en</w:t>
      </w:r>
      <w:proofErr w:type="spellEnd"/>
      <w:r w:rsidRPr="00301C11">
        <w:rPr>
          <w:lang w:val="en-GB"/>
        </w:rPr>
        <w:t xml:space="preserve"> 2012, CRPD/C/FRA/1, 16 </w:t>
      </w:r>
      <w:proofErr w:type="spellStart"/>
      <w:r w:rsidRPr="00301C11">
        <w:rPr>
          <w:lang w:val="en-GB"/>
        </w:rPr>
        <w:t>octobre</w:t>
      </w:r>
      <w:proofErr w:type="spellEnd"/>
      <w:r w:rsidRPr="00301C11">
        <w:rPr>
          <w:lang w:val="en-GB"/>
        </w:rPr>
        <w:t xml:space="preserve"> 2017, para. 293.</w:t>
      </w:r>
    </w:p>
  </w:footnote>
  <w:footnote w:id="33">
    <w:p w14:paraId="2B607360" w14:textId="7356EC3B" w:rsidR="005931D0" w:rsidRPr="00301C11" w:rsidRDefault="005931D0" w:rsidP="72B17112">
      <w:pPr>
        <w:pStyle w:val="FootnoteText"/>
        <w:rPr>
          <w:lang w:val="hu-HU"/>
        </w:rPr>
      </w:pPr>
      <w:r w:rsidRPr="00301C11">
        <w:rPr>
          <w:rStyle w:val="FootnoteReference"/>
        </w:rPr>
        <w:footnoteRef/>
      </w:r>
      <w:r w:rsidRPr="00301C11">
        <w:t xml:space="preserve"> </w:t>
      </w:r>
      <w:r w:rsidRPr="00301C11">
        <w:rPr>
          <w:lang w:val="en-GB"/>
        </w:rPr>
        <w:t xml:space="preserve">MDAC, Croatia lifts voting prohibition for people with disabilities, available at: </w:t>
      </w:r>
      <w:hyperlink r:id="rId3" w:history="1">
        <w:r w:rsidRPr="00301C11">
          <w:rPr>
            <w:rStyle w:val="Hyperlink"/>
          </w:rPr>
          <w:t>http://www.mdac.info/en/14/12/2012/croatia-lifts-voting-prohibition-for-people-with-disabilities</w:t>
        </w:r>
      </w:hyperlink>
      <w:r w:rsidRPr="00301C11">
        <w:t xml:space="preserve"> </w:t>
      </w:r>
    </w:p>
  </w:footnote>
  <w:footnote w:id="34">
    <w:p w14:paraId="4DC6D6E6" w14:textId="1DD45AE1" w:rsidR="005931D0" w:rsidRPr="00301C11" w:rsidRDefault="005931D0" w:rsidP="72B17112">
      <w:pPr>
        <w:pStyle w:val="FootnoteText"/>
        <w:rPr>
          <w:lang w:val="hu-HU"/>
        </w:rPr>
      </w:pPr>
      <w:r w:rsidRPr="00301C11">
        <w:rPr>
          <w:rStyle w:val="FootnoteReference"/>
        </w:rPr>
        <w:footnoteRef/>
      </w:r>
      <w:r w:rsidRPr="00301C11">
        <w:t xml:space="preserve"> </w:t>
      </w:r>
      <w:proofErr w:type="spellStart"/>
      <w:r w:rsidRPr="00301C11">
        <w:t>Branka</w:t>
      </w:r>
      <w:proofErr w:type="spellEnd"/>
      <w:r w:rsidRPr="00301C11">
        <w:t xml:space="preserve"> </w:t>
      </w:r>
      <w:proofErr w:type="spellStart"/>
      <w:r w:rsidRPr="00301C11">
        <w:t>Meic</w:t>
      </w:r>
      <w:proofErr w:type="spellEnd"/>
      <w:r w:rsidRPr="00301C11">
        <w:t>: Campaigning for the restoration of the right to vote, International Disability Alliance: Human Rights Publication Series, 2013, page 68.</w:t>
      </w:r>
    </w:p>
  </w:footnote>
  <w:footnote w:id="35">
    <w:p w14:paraId="0FA0ED96" w14:textId="5E2C657A" w:rsidR="005931D0" w:rsidRPr="00301C11" w:rsidRDefault="005931D0" w:rsidP="72B17112">
      <w:pPr>
        <w:pStyle w:val="FootnoteText"/>
        <w:rPr>
          <w:lang w:val="hu-HU"/>
        </w:rPr>
      </w:pPr>
      <w:r w:rsidRPr="00301C11">
        <w:rPr>
          <w:rStyle w:val="FootnoteReference"/>
        </w:rPr>
        <w:footnoteRef/>
      </w:r>
      <w:r w:rsidRPr="00301C11">
        <w:t xml:space="preserve"> </w:t>
      </w:r>
      <w:r w:rsidRPr="00301C11">
        <w:rPr>
          <w:lang w:val="hu-HU"/>
        </w:rPr>
        <w:t>Ibid.</w:t>
      </w:r>
    </w:p>
  </w:footnote>
  <w:footnote w:id="36">
    <w:p w14:paraId="4B9B65B6" w14:textId="0EB2A66B" w:rsidR="005931D0" w:rsidRPr="00301C11" w:rsidRDefault="005931D0" w:rsidP="72B17112">
      <w:pPr>
        <w:pStyle w:val="FootnoteText"/>
        <w:jc w:val="both"/>
        <w:rPr>
          <w:lang w:val="hu-HU"/>
        </w:rPr>
      </w:pPr>
      <w:r w:rsidRPr="00301C11">
        <w:rPr>
          <w:rStyle w:val="FootnoteReference"/>
        </w:rPr>
        <w:footnoteRef/>
      </w:r>
      <w:r w:rsidRPr="00301C11">
        <w:t xml:space="preserve"> </w:t>
      </w:r>
      <w:r w:rsidRPr="00301C11">
        <w:rPr>
          <w:lang w:val="en-GB"/>
        </w:rPr>
        <w:t xml:space="preserve">Draft Law 36 of 8 May 2015 on amending and completing a number of legislative acts, available at </w:t>
      </w:r>
      <w:hyperlink r:id="rId4" w:history="1">
        <w:r w:rsidRPr="00301C11">
          <w:rPr>
            <w:rStyle w:val="Hyperlink"/>
            <w:lang w:val="en-GB"/>
          </w:rPr>
          <w:t>http://justice.gov.md/public/files/transparenta_in_procesul_decizional/coordonare/2015/iulie/Proiect_24.07.2015L.pdf</w:t>
        </w:r>
      </w:hyperlink>
    </w:p>
  </w:footnote>
  <w:footnote w:id="37">
    <w:p w14:paraId="7A50593D" w14:textId="77777777" w:rsidR="005931D0" w:rsidRPr="00301C11" w:rsidRDefault="005931D0" w:rsidP="00D8368D">
      <w:pPr>
        <w:pStyle w:val="FootnoteText"/>
        <w:jc w:val="both"/>
      </w:pPr>
      <w:r w:rsidRPr="00301C11">
        <w:rPr>
          <w:rStyle w:val="FootnoteReference"/>
        </w:rPr>
        <w:footnoteRef/>
      </w:r>
      <w:r w:rsidRPr="00301C11">
        <w:rPr>
          <w:i/>
          <w:iCs/>
        </w:rPr>
        <w:t xml:space="preserve"> Mathieu-</w:t>
      </w:r>
      <w:proofErr w:type="spellStart"/>
      <w:r w:rsidRPr="00301C11">
        <w:rPr>
          <w:i/>
          <w:iCs/>
        </w:rPr>
        <w:t>Mohin</w:t>
      </w:r>
      <w:proofErr w:type="spellEnd"/>
      <w:r w:rsidRPr="00301C11">
        <w:rPr>
          <w:i/>
          <w:iCs/>
        </w:rPr>
        <w:t xml:space="preserve"> and </w:t>
      </w:r>
      <w:proofErr w:type="spellStart"/>
      <w:r w:rsidRPr="00301C11">
        <w:rPr>
          <w:i/>
          <w:iCs/>
        </w:rPr>
        <w:t>Clerfayt</w:t>
      </w:r>
      <w:proofErr w:type="spellEnd"/>
      <w:r w:rsidRPr="00301C11">
        <w:rPr>
          <w:i/>
          <w:iCs/>
        </w:rPr>
        <w:t xml:space="preserve"> v. Belgium</w:t>
      </w:r>
      <w:r w:rsidRPr="00301C11">
        <w:t xml:space="preserve">, Application No. 9267/81, judgment of 2 March 1987, paras 46-51; </w:t>
      </w:r>
      <w:r w:rsidRPr="00301C11">
        <w:rPr>
          <w:i/>
          <w:iCs/>
        </w:rPr>
        <w:t>Hirst v. United Kingdom (No. 2)</w:t>
      </w:r>
      <w:r w:rsidRPr="00301C11">
        <w:t>, Application No. 74025/01, judgment of 6 October 2005, para. 57.</w:t>
      </w:r>
    </w:p>
  </w:footnote>
  <w:footnote w:id="38">
    <w:p w14:paraId="777C8559" w14:textId="17410E47" w:rsidR="005931D0" w:rsidRPr="00301C11" w:rsidRDefault="005931D0" w:rsidP="00D8368D">
      <w:pPr>
        <w:pStyle w:val="FootnoteText"/>
        <w:jc w:val="both"/>
      </w:pPr>
      <w:r w:rsidRPr="00301C11">
        <w:rPr>
          <w:rStyle w:val="FootnoteReference"/>
        </w:rPr>
        <w:footnoteRef/>
      </w:r>
      <w:r w:rsidRPr="00301C11">
        <w:rPr>
          <w:i/>
          <w:iCs/>
        </w:rPr>
        <w:t xml:space="preserve"> Mathieu-</w:t>
      </w:r>
      <w:proofErr w:type="spellStart"/>
      <w:r w:rsidRPr="00301C11">
        <w:rPr>
          <w:i/>
          <w:iCs/>
        </w:rPr>
        <w:t>Mohin</w:t>
      </w:r>
      <w:proofErr w:type="spellEnd"/>
      <w:r w:rsidRPr="00301C11">
        <w:rPr>
          <w:i/>
          <w:iCs/>
        </w:rPr>
        <w:t xml:space="preserve"> and </w:t>
      </w:r>
      <w:proofErr w:type="spellStart"/>
      <w:r w:rsidRPr="00301C11">
        <w:rPr>
          <w:i/>
          <w:iCs/>
        </w:rPr>
        <w:t>Clerfayt</w:t>
      </w:r>
      <w:proofErr w:type="spellEnd"/>
      <w:r w:rsidRPr="00301C11">
        <w:rPr>
          <w:i/>
          <w:iCs/>
        </w:rPr>
        <w:t xml:space="preserve"> v. Belgium</w:t>
      </w:r>
      <w:r w:rsidRPr="00301C11">
        <w:t xml:space="preserve">, Application No. 9267/81, judgment of 2 March 1987, para. 52; </w:t>
      </w:r>
      <w:proofErr w:type="spellStart"/>
      <w:r w:rsidRPr="00301C11">
        <w:rPr>
          <w:i/>
          <w:iCs/>
        </w:rPr>
        <w:t>Gitonas</w:t>
      </w:r>
      <w:proofErr w:type="spellEnd"/>
      <w:r w:rsidRPr="00301C11">
        <w:rPr>
          <w:i/>
          <w:iCs/>
        </w:rPr>
        <w:t xml:space="preserve"> v. Greece</w:t>
      </w:r>
      <w:r w:rsidRPr="00301C11">
        <w:t xml:space="preserve">, Application Nos 18747/91, 19376/92, 19379/92, judgment of 1 July 1997, RJD 1997-IV, No. 42 at para 39; </w:t>
      </w:r>
      <w:r w:rsidRPr="00301C11">
        <w:rPr>
          <w:i/>
          <w:iCs/>
        </w:rPr>
        <w:t>Matthews v UK</w:t>
      </w:r>
      <w:r w:rsidRPr="00301C11">
        <w:t xml:space="preserve">, Application No. 24833/94, judgment of 18 February 1999 para. 63; </w:t>
      </w:r>
      <w:proofErr w:type="spellStart"/>
      <w:r w:rsidRPr="00301C11">
        <w:rPr>
          <w:i/>
          <w:iCs/>
        </w:rPr>
        <w:t>Podkolzina</w:t>
      </w:r>
      <w:proofErr w:type="spellEnd"/>
      <w:r w:rsidRPr="00301C11">
        <w:rPr>
          <w:i/>
          <w:iCs/>
        </w:rPr>
        <w:t xml:space="preserve"> v. Latvia</w:t>
      </w:r>
      <w:r w:rsidRPr="00301C11">
        <w:t xml:space="preserve">, Application No. 46726/99, judgment of 9 April 2002, para. 33; and </w:t>
      </w:r>
      <w:r w:rsidRPr="00301C11">
        <w:rPr>
          <w:i/>
        </w:rPr>
        <w:t>Hirst v. United Kingdom (No. 2),</w:t>
      </w:r>
      <w:r w:rsidRPr="00301C11">
        <w:t xml:space="preserve"> Application No. 74025/01, judgment of 6 October 2005, para. 62.</w:t>
      </w:r>
    </w:p>
  </w:footnote>
  <w:footnote w:id="39">
    <w:p w14:paraId="7F14A1D6" w14:textId="3CB3A9DE" w:rsidR="005931D0" w:rsidRPr="00301C11" w:rsidRDefault="005931D0" w:rsidP="72B17112">
      <w:pPr>
        <w:pStyle w:val="FootnoteText"/>
        <w:jc w:val="both"/>
      </w:pPr>
      <w:r w:rsidRPr="00301C11">
        <w:rPr>
          <w:rStyle w:val="FootnoteReference"/>
        </w:rPr>
        <w:footnoteRef/>
      </w:r>
      <w:r w:rsidRPr="00301C11">
        <w:rPr>
          <w:i/>
          <w:iCs/>
        </w:rPr>
        <w:t xml:space="preserve"> Mathieu-</w:t>
      </w:r>
      <w:proofErr w:type="spellStart"/>
      <w:r w:rsidRPr="00301C11">
        <w:rPr>
          <w:i/>
          <w:iCs/>
        </w:rPr>
        <w:t>Mohin</w:t>
      </w:r>
      <w:proofErr w:type="spellEnd"/>
      <w:r w:rsidRPr="00301C11">
        <w:rPr>
          <w:i/>
          <w:iCs/>
        </w:rPr>
        <w:t xml:space="preserve"> and </w:t>
      </w:r>
      <w:proofErr w:type="spellStart"/>
      <w:r w:rsidRPr="00301C11">
        <w:rPr>
          <w:i/>
          <w:iCs/>
        </w:rPr>
        <w:t>Clerfayt</w:t>
      </w:r>
      <w:proofErr w:type="spellEnd"/>
      <w:r w:rsidRPr="00301C11">
        <w:rPr>
          <w:i/>
          <w:iCs/>
        </w:rPr>
        <w:t xml:space="preserve"> v. Belgium</w:t>
      </w:r>
      <w:r w:rsidRPr="00301C11">
        <w:t>, Application No. 9267/81, judgment of 2 March 1987, para. 52</w:t>
      </w:r>
      <w:r w:rsidRPr="00301C11">
        <w:rPr>
          <w:i/>
          <w:iCs/>
          <w:color w:val="000000"/>
        </w:rPr>
        <w:t xml:space="preserve">; </w:t>
      </w:r>
      <w:r w:rsidRPr="00301C11">
        <w:rPr>
          <w:i/>
          <w:iCs/>
        </w:rPr>
        <w:t>Hirst v. United Kingdom (No. 2)</w:t>
      </w:r>
      <w:r w:rsidRPr="00301C11">
        <w:t>, Application No. 74025/01, judgment of 6 October 2005, para. 62.</w:t>
      </w:r>
    </w:p>
  </w:footnote>
  <w:footnote w:id="40">
    <w:p w14:paraId="55918E58" w14:textId="43516120" w:rsidR="005931D0" w:rsidRPr="00301C11" w:rsidRDefault="005931D0" w:rsidP="72B17112">
      <w:pPr>
        <w:pStyle w:val="FootnoteText"/>
        <w:jc w:val="both"/>
      </w:pPr>
      <w:r w:rsidRPr="00301C11">
        <w:rPr>
          <w:rStyle w:val="FootnoteReference"/>
        </w:rPr>
        <w:footnoteRef/>
      </w:r>
      <w:r w:rsidRPr="00301C11">
        <w:rPr>
          <w:i/>
          <w:iCs/>
        </w:rPr>
        <w:t xml:space="preserve"> </w:t>
      </w:r>
      <w:r w:rsidRPr="00301C11">
        <w:rPr>
          <w:iCs/>
        </w:rPr>
        <w:t>Ibid.</w:t>
      </w:r>
    </w:p>
  </w:footnote>
  <w:footnote w:id="41">
    <w:p w14:paraId="4C0EACB2" w14:textId="77777777" w:rsidR="005931D0" w:rsidRPr="00301C11" w:rsidRDefault="005931D0" w:rsidP="72B17112">
      <w:pPr>
        <w:spacing w:line="240" w:lineRule="auto"/>
        <w:rPr>
          <w:rFonts w:asciiTheme="minorHAnsi" w:hAnsiTheme="minorHAnsi"/>
          <w:sz w:val="20"/>
          <w:szCs w:val="20"/>
        </w:rPr>
      </w:pPr>
      <w:r w:rsidRPr="00301C11">
        <w:rPr>
          <w:rStyle w:val="FootnoteReference"/>
          <w:rFonts w:asciiTheme="minorHAnsi" w:hAnsiTheme="minorHAnsi"/>
          <w:sz w:val="20"/>
          <w:szCs w:val="20"/>
        </w:rPr>
        <w:footnoteRef/>
      </w:r>
      <w:r w:rsidRPr="00301C11">
        <w:rPr>
          <w:rFonts w:asciiTheme="minorHAnsi" w:hAnsiTheme="minorHAnsi"/>
          <w:sz w:val="20"/>
          <w:szCs w:val="20"/>
        </w:rPr>
        <w:t xml:space="preserve"> </w:t>
      </w:r>
      <w:r w:rsidRPr="00301C11">
        <w:rPr>
          <w:rFonts w:asciiTheme="minorHAnsi" w:hAnsiTheme="minorHAnsi"/>
          <w:i/>
          <w:iCs/>
          <w:sz w:val="20"/>
          <w:szCs w:val="20"/>
        </w:rPr>
        <w:t>Hirst v. United Kingdom</w:t>
      </w:r>
      <w:r w:rsidRPr="00301C11">
        <w:rPr>
          <w:rFonts w:asciiTheme="minorHAnsi" w:hAnsiTheme="minorHAnsi"/>
          <w:sz w:val="20"/>
          <w:szCs w:val="20"/>
        </w:rPr>
        <w:t xml:space="preserve"> (No. 2), Application No. 74025/01, judgment 6 October 2005, paras. 62.; </w:t>
      </w:r>
      <w:r w:rsidRPr="00301C11">
        <w:rPr>
          <w:rFonts w:asciiTheme="minorHAnsi" w:hAnsiTheme="minorHAnsi"/>
          <w:i/>
          <w:iCs/>
          <w:sz w:val="20"/>
          <w:szCs w:val="20"/>
        </w:rPr>
        <w:t>Kiss v. Hungary</w:t>
      </w:r>
      <w:r w:rsidRPr="00301C11">
        <w:rPr>
          <w:rFonts w:asciiTheme="minorHAnsi" w:hAnsiTheme="minorHAnsi"/>
          <w:sz w:val="20"/>
          <w:szCs w:val="20"/>
        </w:rPr>
        <w:t>, Application No. 38832/06, judgment of 20 May 2010, para. 36.</w:t>
      </w:r>
    </w:p>
  </w:footnote>
  <w:footnote w:id="42">
    <w:p w14:paraId="4E6A47D7" w14:textId="77777777" w:rsidR="00A45A1B" w:rsidRPr="00301C11" w:rsidRDefault="00A45A1B" w:rsidP="00A45A1B">
      <w:pPr>
        <w:pStyle w:val="FootnoteText"/>
        <w:jc w:val="both"/>
        <w:rPr>
          <w:rFonts w:ascii="Times New Roman" w:hAnsi="Times New Roman" w:cs="Times New Roman"/>
        </w:rPr>
      </w:pPr>
      <w:r w:rsidRPr="00301C11">
        <w:rPr>
          <w:rStyle w:val="FootnoteReference"/>
        </w:rPr>
        <w:footnoteRef/>
      </w:r>
      <w:r w:rsidRPr="00301C11">
        <w:rPr>
          <w:i/>
          <w:iCs/>
        </w:rPr>
        <w:t xml:space="preserve"> Kiss v. Hungary</w:t>
      </w:r>
      <w:r w:rsidRPr="00301C11">
        <w:t>, Application No. 38832/06, judgment of 20 May 2010, para. 42.</w:t>
      </w:r>
    </w:p>
  </w:footnote>
  <w:footnote w:id="43">
    <w:p w14:paraId="5E52ED21" w14:textId="77777777" w:rsidR="00A45A1B" w:rsidRPr="00301C11" w:rsidRDefault="00A45A1B" w:rsidP="00A45A1B">
      <w:pPr>
        <w:pStyle w:val="FootnoteText"/>
        <w:rPr>
          <w:lang w:val="hu-HU"/>
        </w:rPr>
      </w:pPr>
      <w:r w:rsidRPr="00301C11">
        <w:rPr>
          <w:rStyle w:val="FootnoteReference"/>
        </w:rPr>
        <w:footnoteRef/>
      </w:r>
      <w:r w:rsidRPr="00301C11">
        <w:t xml:space="preserve"> </w:t>
      </w:r>
      <w:r w:rsidRPr="00301C11">
        <w:rPr>
          <w:lang w:val="hu-HU"/>
        </w:rPr>
        <w:t>Article 1 of the European Convention on Human Rights.</w:t>
      </w:r>
    </w:p>
  </w:footnote>
  <w:footnote w:id="44">
    <w:p w14:paraId="6A0403A0" w14:textId="77777777" w:rsidR="005931D0" w:rsidRPr="00301C11" w:rsidRDefault="005931D0" w:rsidP="72B17112">
      <w:pPr>
        <w:pStyle w:val="FootnoteText"/>
        <w:rPr>
          <w:lang w:val="hu-HU"/>
        </w:rPr>
      </w:pPr>
      <w:r w:rsidRPr="00301C11">
        <w:rPr>
          <w:rStyle w:val="FootnoteReference"/>
        </w:rPr>
        <w:footnoteRef/>
      </w:r>
      <w:r w:rsidRPr="00301C11">
        <w:t xml:space="preserve"> </w:t>
      </w:r>
      <w:proofErr w:type="spellStart"/>
      <w:r w:rsidRPr="00301C11">
        <w:rPr>
          <w:lang w:val="en-GB"/>
        </w:rPr>
        <w:t>Fiala-Butora</w:t>
      </w:r>
      <w:proofErr w:type="spellEnd"/>
      <w:r w:rsidRPr="00301C11">
        <w:rPr>
          <w:lang w:val="en-GB"/>
        </w:rPr>
        <w:t xml:space="preserve"> et al, The Democratic Life of the Union: Toward Equal Voting Participation for Europeans with Disabilities, Volume 55, Number 1, Winter 2014, page 93.</w:t>
      </w:r>
    </w:p>
  </w:footnote>
  <w:footnote w:id="45">
    <w:p w14:paraId="166048AD" w14:textId="572FDC62" w:rsidR="005931D0" w:rsidRPr="00301C11" w:rsidRDefault="005931D0" w:rsidP="72B17112">
      <w:pPr>
        <w:pStyle w:val="FootnoteText"/>
        <w:jc w:val="both"/>
        <w:rPr>
          <w:lang w:val="hu-HU"/>
        </w:rPr>
      </w:pPr>
      <w:r w:rsidRPr="00301C11">
        <w:rPr>
          <w:rStyle w:val="FootnoteReference"/>
        </w:rPr>
        <w:footnoteRef/>
      </w:r>
      <w:r w:rsidRPr="00301C11">
        <w:t xml:space="preserve"> </w:t>
      </w:r>
      <w:r w:rsidRPr="00301C11">
        <w:rPr>
          <w:lang w:val="en-GB"/>
        </w:rPr>
        <w:t xml:space="preserve">P v. Cheshire West and others [2014] UKSC 19 [2014] 1 AC 896, per Lady Hale JSC at para 45.  </w:t>
      </w:r>
    </w:p>
  </w:footnote>
  <w:footnote w:id="46">
    <w:p w14:paraId="06D0D3A4" w14:textId="77777777" w:rsidR="005931D0" w:rsidRPr="00301C11" w:rsidRDefault="005931D0" w:rsidP="008B3550">
      <w:pPr>
        <w:pStyle w:val="FootnoteText"/>
        <w:jc w:val="both"/>
      </w:pPr>
      <w:r w:rsidRPr="00301C11">
        <w:rPr>
          <w:rStyle w:val="FootnoteReference"/>
        </w:rPr>
        <w:footnoteRef/>
      </w:r>
      <w:r w:rsidRPr="00301C11">
        <w:t xml:space="preserve"> </w:t>
      </w:r>
      <w:proofErr w:type="spellStart"/>
      <w:r w:rsidRPr="00301C11">
        <w:rPr>
          <w:i/>
          <w:iCs/>
        </w:rPr>
        <w:t>Thlimmenos</w:t>
      </w:r>
      <w:proofErr w:type="spellEnd"/>
      <w:r w:rsidRPr="00301C11">
        <w:rPr>
          <w:i/>
          <w:iCs/>
        </w:rPr>
        <w:t xml:space="preserve"> v Greece, </w:t>
      </w:r>
      <w:r w:rsidRPr="00301C11">
        <w:t>Application No. 34369/97, judgment of 6 April 2000</w:t>
      </w:r>
      <w:r w:rsidRPr="00301C11">
        <w:rPr>
          <w:i/>
          <w:iCs/>
        </w:rPr>
        <w:t xml:space="preserve">, </w:t>
      </w:r>
      <w:r w:rsidRPr="00301C11">
        <w:t>para. 44.</w:t>
      </w:r>
    </w:p>
  </w:footnote>
  <w:footnote w:id="47">
    <w:p w14:paraId="1453F64D" w14:textId="77777777" w:rsidR="005931D0" w:rsidRPr="00301C11" w:rsidRDefault="005931D0" w:rsidP="00E2757C">
      <w:pPr>
        <w:pStyle w:val="FootnoteText"/>
        <w:jc w:val="both"/>
      </w:pPr>
      <w:r w:rsidRPr="00301C11">
        <w:rPr>
          <w:rStyle w:val="FootnoteReference"/>
        </w:rPr>
        <w:footnoteRef/>
      </w:r>
      <w:r w:rsidRPr="00301C11">
        <w:t xml:space="preserve"> See, amongst other authorities, </w:t>
      </w:r>
      <w:r w:rsidRPr="00301C11">
        <w:rPr>
          <w:i/>
          <w:iCs/>
        </w:rPr>
        <w:t>Price v UK,</w:t>
      </w:r>
      <w:r w:rsidRPr="00301C11">
        <w:t xml:space="preserve"> Application No. 33394/96, </w:t>
      </w:r>
      <w:bookmarkStart w:id="6" w:name="_Hlk494458640"/>
      <w:r w:rsidRPr="00301C11">
        <w:t xml:space="preserve">judgment of </w:t>
      </w:r>
      <w:bookmarkEnd w:id="6"/>
      <w:r w:rsidRPr="00301C11">
        <w:t xml:space="preserve">10 July 2001; </w:t>
      </w:r>
      <w:r w:rsidRPr="00301C11">
        <w:rPr>
          <w:i/>
          <w:iCs/>
        </w:rPr>
        <w:t>Vincent v France</w:t>
      </w:r>
      <w:r w:rsidRPr="00301C11">
        <w:t xml:space="preserve">, Application No. 6253/03, judgment of 24 October 2006; </w:t>
      </w:r>
      <w:proofErr w:type="spellStart"/>
      <w:r w:rsidRPr="00301C11">
        <w:rPr>
          <w:i/>
          <w:iCs/>
        </w:rPr>
        <w:t>Mouisel</w:t>
      </w:r>
      <w:proofErr w:type="spellEnd"/>
      <w:r w:rsidRPr="00301C11">
        <w:rPr>
          <w:i/>
          <w:iCs/>
        </w:rPr>
        <w:t xml:space="preserve"> v France,</w:t>
      </w:r>
      <w:r w:rsidRPr="00301C11">
        <w:t xml:space="preserve"> Application No. 67263/01, judgment of 14 November 2002; </w:t>
      </w:r>
      <w:proofErr w:type="spellStart"/>
      <w:r w:rsidRPr="00301C11">
        <w:rPr>
          <w:i/>
          <w:iCs/>
        </w:rPr>
        <w:t>Khudobin</w:t>
      </w:r>
      <w:proofErr w:type="spellEnd"/>
      <w:r w:rsidRPr="00301C11">
        <w:rPr>
          <w:i/>
          <w:iCs/>
        </w:rPr>
        <w:t xml:space="preserve"> v Russia,</w:t>
      </w:r>
      <w:r w:rsidRPr="00301C11">
        <w:t xml:space="preserve"> Application No. 59696/00, judgment of 26 October 2006; </w:t>
      </w:r>
      <w:proofErr w:type="spellStart"/>
      <w:r w:rsidRPr="00301C11">
        <w:rPr>
          <w:i/>
          <w:iCs/>
        </w:rPr>
        <w:t>Raffray</w:t>
      </w:r>
      <w:proofErr w:type="spellEnd"/>
      <w:r w:rsidRPr="00301C11">
        <w:rPr>
          <w:i/>
          <w:iCs/>
        </w:rPr>
        <w:t xml:space="preserve"> </w:t>
      </w:r>
      <w:proofErr w:type="spellStart"/>
      <w:r w:rsidRPr="00301C11">
        <w:rPr>
          <w:i/>
          <w:iCs/>
        </w:rPr>
        <w:t>Taddei</w:t>
      </w:r>
      <w:proofErr w:type="spellEnd"/>
      <w:r w:rsidRPr="00301C11">
        <w:rPr>
          <w:i/>
          <w:iCs/>
        </w:rPr>
        <w:t xml:space="preserve"> v France,</w:t>
      </w:r>
      <w:r w:rsidRPr="00301C11">
        <w:t xml:space="preserve"> Application No. 36435/07, judgment of 21 December 2010; </w:t>
      </w:r>
      <w:proofErr w:type="spellStart"/>
      <w:r w:rsidRPr="00301C11">
        <w:rPr>
          <w:i/>
          <w:iCs/>
        </w:rPr>
        <w:t>Vasyukov</w:t>
      </w:r>
      <w:proofErr w:type="spellEnd"/>
      <w:r w:rsidRPr="00301C11">
        <w:rPr>
          <w:i/>
          <w:iCs/>
        </w:rPr>
        <w:t xml:space="preserve"> v Russia,</w:t>
      </w:r>
      <w:r w:rsidRPr="00301C11">
        <w:t xml:space="preserve"> Application No. 2974/05, judgment of 5 April 2011; </w:t>
      </w:r>
      <w:proofErr w:type="spellStart"/>
      <w:r w:rsidRPr="00301C11">
        <w:rPr>
          <w:i/>
          <w:iCs/>
        </w:rPr>
        <w:t>Grzywaczewski</w:t>
      </w:r>
      <w:proofErr w:type="spellEnd"/>
      <w:r w:rsidRPr="00301C11">
        <w:rPr>
          <w:i/>
          <w:iCs/>
        </w:rPr>
        <w:t xml:space="preserve"> v Poland,</w:t>
      </w:r>
      <w:r w:rsidRPr="00301C11">
        <w:t xml:space="preserve"> Application No. 18364/06, judgment of 31 May 2012; </w:t>
      </w:r>
      <w:r w:rsidRPr="00301C11">
        <w:rPr>
          <w:i/>
          <w:iCs/>
        </w:rPr>
        <w:t xml:space="preserve">DG v Poland, </w:t>
      </w:r>
      <w:r w:rsidRPr="00301C11">
        <w:t>Application No. 45705/07, judgment of 12 February 2013. In each of these instances, the Court conducted a review of the measures taken by the authorities with respect to the specific circumstances and needs of the individual prisoners, persons with disabilities and/or persons with chronic illnesses. The Court concluded that the authorities failed to take measures to ensure they were accommodated in terms of accessible or adapted facilities during their detention.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40"/>
      <w:gridCol w:w="3240"/>
      <w:gridCol w:w="3240"/>
    </w:tblGrid>
    <w:tr w:rsidR="005931D0" w14:paraId="0E6E1330" w14:textId="77777777" w:rsidTr="47AD4E86">
      <w:tc>
        <w:tcPr>
          <w:tcW w:w="3240" w:type="dxa"/>
        </w:tcPr>
        <w:p w14:paraId="4088108D" w14:textId="2FEE4C7A" w:rsidR="005931D0" w:rsidRDefault="005931D0" w:rsidP="47AD4E86">
          <w:pPr>
            <w:pStyle w:val="Header"/>
            <w:ind w:left="-115"/>
          </w:pPr>
        </w:p>
      </w:tc>
      <w:tc>
        <w:tcPr>
          <w:tcW w:w="3240" w:type="dxa"/>
        </w:tcPr>
        <w:p w14:paraId="325EEED0" w14:textId="0ECA014F" w:rsidR="005931D0" w:rsidRDefault="005931D0" w:rsidP="47AD4E86">
          <w:pPr>
            <w:pStyle w:val="Header"/>
            <w:jc w:val="center"/>
          </w:pPr>
        </w:p>
      </w:tc>
      <w:tc>
        <w:tcPr>
          <w:tcW w:w="3240" w:type="dxa"/>
        </w:tcPr>
        <w:p w14:paraId="7CA3903B" w14:textId="35FF4D16" w:rsidR="005931D0" w:rsidRDefault="005931D0" w:rsidP="47AD4E86">
          <w:pPr>
            <w:pStyle w:val="Header"/>
            <w:ind w:right="-115"/>
            <w:jc w:val="right"/>
          </w:pPr>
        </w:p>
      </w:tc>
    </w:tr>
  </w:tbl>
  <w:p w14:paraId="638B2BD4" w14:textId="418FC580" w:rsidR="005931D0" w:rsidRDefault="005931D0" w:rsidP="47AD4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DF93" w14:textId="3A0E2E72" w:rsidR="005931D0" w:rsidRDefault="005931D0">
    <w:pPr>
      <w:pStyle w:val="Header"/>
    </w:pPr>
    <w:r>
      <w:rPr>
        <w:noProof/>
      </w:rPr>
      <w:drawing>
        <wp:inline distT="0" distB="0" distL="0" distR="0" wp14:anchorId="5DFFC7AD" wp14:editId="4F2E30AD">
          <wp:extent cx="1450975" cy="475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475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944FA"/>
    <w:multiLevelType w:val="hybridMultilevel"/>
    <w:tmpl w:val="E862A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1389A"/>
    <w:multiLevelType w:val="hybridMultilevel"/>
    <w:tmpl w:val="51767B7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345D09"/>
    <w:multiLevelType w:val="hybridMultilevel"/>
    <w:tmpl w:val="97529628"/>
    <w:lvl w:ilvl="0" w:tplc="F138951A">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42D34"/>
    <w:multiLevelType w:val="hybridMultilevel"/>
    <w:tmpl w:val="C84CC9B6"/>
    <w:lvl w:ilvl="0" w:tplc="C16A8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55F66"/>
    <w:multiLevelType w:val="hybridMultilevel"/>
    <w:tmpl w:val="A0568CDA"/>
    <w:lvl w:ilvl="0" w:tplc="2EA49D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561A7E"/>
    <w:multiLevelType w:val="multilevel"/>
    <w:tmpl w:val="238A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27CFE"/>
    <w:multiLevelType w:val="hybridMultilevel"/>
    <w:tmpl w:val="12522690"/>
    <w:lvl w:ilvl="0" w:tplc="7E224F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180C83"/>
    <w:multiLevelType w:val="hybridMultilevel"/>
    <w:tmpl w:val="BBDC618A"/>
    <w:lvl w:ilvl="0" w:tplc="B764ED1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B67761"/>
    <w:multiLevelType w:val="hybridMultilevel"/>
    <w:tmpl w:val="6B783BC0"/>
    <w:lvl w:ilvl="0" w:tplc="09C65A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99B33AD"/>
    <w:multiLevelType w:val="hybridMultilevel"/>
    <w:tmpl w:val="5BD0A97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EF4536"/>
    <w:multiLevelType w:val="hybridMultilevel"/>
    <w:tmpl w:val="8ADEFAC0"/>
    <w:lvl w:ilvl="0" w:tplc="664A97FE">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BB495A"/>
    <w:multiLevelType w:val="hybridMultilevel"/>
    <w:tmpl w:val="A1305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BA7CCC"/>
    <w:multiLevelType w:val="hybridMultilevel"/>
    <w:tmpl w:val="EEC0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B21645"/>
    <w:multiLevelType w:val="multilevel"/>
    <w:tmpl w:val="2894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C436DB"/>
    <w:multiLevelType w:val="hybridMultilevel"/>
    <w:tmpl w:val="7DE2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7C4C96"/>
    <w:multiLevelType w:val="hybridMultilevel"/>
    <w:tmpl w:val="54268EAC"/>
    <w:lvl w:ilvl="0" w:tplc="226E1862">
      <w:start w:val="1"/>
      <w:numFmt w:val="decimal"/>
      <w:lvlText w:val="%1."/>
      <w:lvlJc w:val="left"/>
      <w:pPr>
        <w:ind w:left="-207" w:hanging="360"/>
      </w:pPr>
      <w:rPr>
        <w:rFonts w:ascii="Futura Lt BT" w:hAnsi="Futura Lt BT" w:cstheme="minorBidi" w:hint="default"/>
        <w:b w:val="0"/>
        <w:bCs w:val="0"/>
        <w:i w:val="0"/>
        <w:sz w:val="20"/>
      </w:rPr>
    </w:lvl>
    <w:lvl w:ilvl="1" w:tplc="F5F8ED0A">
      <w:start w:val="1"/>
      <w:numFmt w:val="lowerLetter"/>
      <w:lvlText w:val="%2."/>
      <w:lvlJc w:val="left"/>
      <w:pPr>
        <w:ind w:left="513" w:hanging="360"/>
      </w:pPr>
      <w:rPr>
        <w:rFonts w:ascii="Futura Lt BT" w:hAnsi="Futura Lt BT" w:hint="default"/>
        <w:b w:val="0"/>
        <w:i w:val="0"/>
        <w:sz w:val="22"/>
        <w:szCs w:val="22"/>
      </w:rPr>
    </w:lvl>
    <w:lvl w:ilvl="2" w:tplc="0409001B">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6" w15:restartNumberingAfterBreak="0">
    <w:nsid w:val="6A5057F0"/>
    <w:multiLevelType w:val="hybridMultilevel"/>
    <w:tmpl w:val="D250C0C8"/>
    <w:lvl w:ilvl="0" w:tplc="FFFFFFF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C146C1"/>
    <w:multiLevelType w:val="hybridMultilevel"/>
    <w:tmpl w:val="95BA94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7722DA"/>
    <w:multiLevelType w:val="hybridMultilevel"/>
    <w:tmpl w:val="020A8D5A"/>
    <w:lvl w:ilvl="0" w:tplc="500EA11A">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416A6B"/>
    <w:multiLevelType w:val="hybridMultilevel"/>
    <w:tmpl w:val="FE8A94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F6637E2"/>
    <w:multiLevelType w:val="hybridMultilevel"/>
    <w:tmpl w:val="5116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5"/>
  </w:num>
  <w:num w:numId="5">
    <w:abstractNumId w:val="13"/>
  </w:num>
  <w:num w:numId="6">
    <w:abstractNumId w:val="12"/>
  </w:num>
  <w:num w:numId="7">
    <w:abstractNumId w:val="0"/>
  </w:num>
  <w:num w:numId="8">
    <w:abstractNumId w:val="20"/>
  </w:num>
  <w:num w:numId="9">
    <w:abstractNumId w:val="7"/>
  </w:num>
  <w:num w:numId="10">
    <w:abstractNumId w:val="4"/>
  </w:num>
  <w:num w:numId="11">
    <w:abstractNumId w:val="19"/>
  </w:num>
  <w:num w:numId="12">
    <w:abstractNumId w:val="1"/>
  </w:num>
  <w:num w:numId="13">
    <w:abstractNumId w:val="16"/>
  </w:num>
  <w:num w:numId="14">
    <w:abstractNumId w:val="11"/>
  </w:num>
  <w:num w:numId="15">
    <w:abstractNumId w:val="15"/>
  </w:num>
  <w:num w:numId="16">
    <w:abstractNumId w:val="14"/>
  </w:num>
  <w:num w:numId="17">
    <w:abstractNumId w:val="18"/>
  </w:num>
  <w:num w:numId="18">
    <w:abstractNumId w:val="9"/>
  </w:num>
  <w:num w:numId="19">
    <w:abstractNumId w:val="17"/>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6E"/>
    <w:rsid w:val="0000058C"/>
    <w:rsid w:val="0000099D"/>
    <w:rsid w:val="00000C8B"/>
    <w:rsid w:val="00001F0E"/>
    <w:rsid w:val="00014EDB"/>
    <w:rsid w:val="00025706"/>
    <w:rsid w:val="00030C14"/>
    <w:rsid w:val="000458DE"/>
    <w:rsid w:val="0004735B"/>
    <w:rsid w:val="00053B41"/>
    <w:rsid w:val="000554EE"/>
    <w:rsid w:val="00055AE8"/>
    <w:rsid w:val="000579FB"/>
    <w:rsid w:val="00062812"/>
    <w:rsid w:val="0007074D"/>
    <w:rsid w:val="00070FA4"/>
    <w:rsid w:val="000718EB"/>
    <w:rsid w:val="00083165"/>
    <w:rsid w:val="00083CCA"/>
    <w:rsid w:val="00084991"/>
    <w:rsid w:val="00084D23"/>
    <w:rsid w:val="000902A3"/>
    <w:rsid w:val="00093342"/>
    <w:rsid w:val="000A0A48"/>
    <w:rsid w:val="000A26C5"/>
    <w:rsid w:val="000A370A"/>
    <w:rsid w:val="000A49FC"/>
    <w:rsid w:val="000A611A"/>
    <w:rsid w:val="000A65C7"/>
    <w:rsid w:val="000B31C2"/>
    <w:rsid w:val="000B7D86"/>
    <w:rsid w:val="000D0131"/>
    <w:rsid w:val="000D1AC6"/>
    <w:rsid w:val="000D47DF"/>
    <w:rsid w:val="000F4F99"/>
    <w:rsid w:val="0010280E"/>
    <w:rsid w:val="001050AA"/>
    <w:rsid w:val="00106E9B"/>
    <w:rsid w:val="001125FD"/>
    <w:rsid w:val="0011267B"/>
    <w:rsid w:val="00116064"/>
    <w:rsid w:val="00124C62"/>
    <w:rsid w:val="0013119D"/>
    <w:rsid w:val="00135D6A"/>
    <w:rsid w:val="0013783B"/>
    <w:rsid w:val="001409F7"/>
    <w:rsid w:val="00142294"/>
    <w:rsid w:val="00144DD0"/>
    <w:rsid w:val="00145E1A"/>
    <w:rsid w:val="001470C3"/>
    <w:rsid w:val="00150B8A"/>
    <w:rsid w:val="00152B25"/>
    <w:rsid w:val="0015398A"/>
    <w:rsid w:val="001569BD"/>
    <w:rsid w:val="00156A7E"/>
    <w:rsid w:val="001711C8"/>
    <w:rsid w:val="00175696"/>
    <w:rsid w:val="0018309C"/>
    <w:rsid w:val="0018466B"/>
    <w:rsid w:val="00184B45"/>
    <w:rsid w:val="001919B5"/>
    <w:rsid w:val="00192198"/>
    <w:rsid w:val="00192CC4"/>
    <w:rsid w:val="001948D4"/>
    <w:rsid w:val="001970B6"/>
    <w:rsid w:val="001A0A04"/>
    <w:rsid w:val="001A1EA1"/>
    <w:rsid w:val="001B57A8"/>
    <w:rsid w:val="001B6A39"/>
    <w:rsid w:val="001C0A61"/>
    <w:rsid w:val="001C600A"/>
    <w:rsid w:val="001C6644"/>
    <w:rsid w:val="001D7AA2"/>
    <w:rsid w:val="001E30C2"/>
    <w:rsid w:val="001E64AE"/>
    <w:rsid w:val="001E6ACE"/>
    <w:rsid w:val="001E71B3"/>
    <w:rsid w:val="001F045A"/>
    <w:rsid w:val="00206CFF"/>
    <w:rsid w:val="00212DEC"/>
    <w:rsid w:val="002150E1"/>
    <w:rsid w:val="00220359"/>
    <w:rsid w:val="0022139F"/>
    <w:rsid w:val="00224F4A"/>
    <w:rsid w:val="0023210D"/>
    <w:rsid w:val="00233C40"/>
    <w:rsid w:val="00237BA8"/>
    <w:rsid w:val="00240854"/>
    <w:rsid w:val="002421D6"/>
    <w:rsid w:val="00242E01"/>
    <w:rsid w:val="00243810"/>
    <w:rsid w:val="00243DDB"/>
    <w:rsid w:val="00251811"/>
    <w:rsid w:val="002519E9"/>
    <w:rsid w:val="00253359"/>
    <w:rsid w:val="002558C6"/>
    <w:rsid w:val="002610B4"/>
    <w:rsid w:val="0026185B"/>
    <w:rsid w:val="00261B7D"/>
    <w:rsid w:val="002646B0"/>
    <w:rsid w:val="00266FCB"/>
    <w:rsid w:val="0026709D"/>
    <w:rsid w:val="00270A78"/>
    <w:rsid w:val="00271CF2"/>
    <w:rsid w:val="00275D2A"/>
    <w:rsid w:val="002819D9"/>
    <w:rsid w:val="00282571"/>
    <w:rsid w:val="00282AE3"/>
    <w:rsid w:val="00283B5F"/>
    <w:rsid w:val="002903B4"/>
    <w:rsid w:val="00293266"/>
    <w:rsid w:val="002A13A6"/>
    <w:rsid w:val="002A1C01"/>
    <w:rsid w:val="002A4D61"/>
    <w:rsid w:val="002A5FBD"/>
    <w:rsid w:val="002A72F6"/>
    <w:rsid w:val="002A7D5F"/>
    <w:rsid w:val="002B1EE3"/>
    <w:rsid w:val="002B5F37"/>
    <w:rsid w:val="002C31F2"/>
    <w:rsid w:val="002C3795"/>
    <w:rsid w:val="002C445B"/>
    <w:rsid w:val="002C687E"/>
    <w:rsid w:val="002D117D"/>
    <w:rsid w:val="002D6EEE"/>
    <w:rsid w:val="002F05E7"/>
    <w:rsid w:val="002F30A8"/>
    <w:rsid w:val="002F4202"/>
    <w:rsid w:val="0030006F"/>
    <w:rsid w:val="00301C11"/>
    <w:rsid w:val="00315135"/>
    <w:rsid w:val="003165E7"/>
    <w:rsid w:val="00317D86"/>
    <w:rsid w:val="003230F0"/>
    <w:rsid w:val="00326F13"/>
    <w:rsid w:val="003354D5"/>
    <w:rsid w:val="00341922"/>
    <w:rsid w:val="0034347A"/>
    <w:rsid w:val="00344A15"/>
    <w:rsid w:val="00355A57"/>
    <w:rsid w:val="0035702E"/>
    <w:rsid w:val="00357145"/>
    <w:rsid w:val="003665F0"/>
    <w:rsid w:val="00367C7B"/>
    <w:rsid w:val="00367D50"/>
    <w:rsid w:val="00382A07"/>
    <w:rsid w:val="00384BEA"/>
    <w:rsid w:val="00387FA4"/>
    <w:rsid w:val="00391363"/>
    <w:rsid w:val="00391972"/>
    <w:rsid w:val="00392ADA"/>
    <w:rsid w:val="003A47AA"/>
    <w:rsid w:val="003A47F1"/>
    <w:rsid w:val="003C395C"/>
    <w:rsid w:val="003C685F"/>
    <w:rsid w:val="003C6E10"/>
    <w:rsid w:val="003D1378"/>
    <w:rsid w:val="003E1DBF"/>
    <w:rsid w:val="003E6B54"/>
    <w:rsid w:val="003F29C0"/>
    <w:rsid w:val="003F4267"/>
    <w:rsid w:val="003F7D81"/>
    <w:rsid w:val="0040235F"/>
    <w:rsid w:val="00404851"/>
    <w:rsid w:val="00414D42"/>
    <w:rsid w:val="00417E6E"/>
    <w:rsid w:val="004213EE"/>
    <w:rsid w:val="00426EF9"/>
    <w:rsid w:val="004326D7"/>
    <w:rsid w:val="00446C68"/>
    <w:rsid w:val="00447EB4"/>
    <w:rsid w:val="004617CB"/>
    <w:rsid w:val="00461BCC"/>
    <w:rsid w:val="00464632"/>
    <w:rsid w:val="004647B0"/>
    <w:rsid w:val="00473317"/>
    <w:rsid w:val="00473A47"/>
    <w:rsid w:val="00474851"/>
    <w:rsid w:val="00490908"/>
    <w:rsid w:val="004916CE"/>
    <w:rsid w:val="004A15F0"/>
    <w:rsid w:val="004B0FEE"/>
    <w:rsid w:val="004B51E4"/>
    <w:rsid w:val="004B77FC"/>
    <w:rsid w:val="004B7BA8"/>
    <w:rsid w:val="004B7F30"/>
    <w:rsid w:val="004C1356"/>
    <w:rsid w:val="004C2628"/>
    <w:rsid w:val="004C40D6"/>
    <w:rsid w:val="004C5F40"/>
    <w:rsid w:val="004C7E41"/>
    <w:rsid w:val="004D0580"/>
    <w:rsid w:val="004D0789"/>
    <w:rsid w:val="004E4294"/>
    <w:rsid w:val="004E445D"/>
    <w:rsid w:val="004F0C8B"/>
    <w:rsid w:val="004F0CA2"/>
    <w:rsid w:val="004F1ABE"/>
    <w:rsid w:val="004F5191"/>
    <w:rsid w:val="004F55D2"/>
    <w:rsid w:val="004F6684"/>
    <w:rsid w:val="005063C0"/>
    <w:rsid w:val="00506B03"/>
    <w:rsid w:val="00506E3B"/>
    <w:rsid w:val="00513A41"/>
    <w:rsid w:val="0051557B"/>
    <w:rsid w:val="00516E79"/>
    <w:rsid w:val="00523292"/>
    <w:rsid w:val="00525668"/>
    <w:rsid w:val="00525E2B"/>
    <w:rsid w:val="0053354D"/>
    <w:rsid w:val="00544464"/>
    <w:rsid w:val="005447F2"/>
    <w:rsid w:val="00556E40"/>
    <w:rsid w:val="00562B62"/>
    <w:rsid w:val="00563855"/>
    <w:rsid w:val="00564FED"/>
    <w:rsid w:val="0057331E"/>
    <w:rsid w:val="00576824"/>
    <w:rsid w:val="00577E31"/>
    <w:rsid w:val="0058298A"/>
    <w:rsid w:val="00582C56"/>
    <w:rsid w:val="00582EE0"/>
    <w:rsid w:val="00583F78"/>
    <w:rsid w:val="005931D0"/>
    <w:rsid w:val="005975B6"/>
    <w:rsid w:val="005A542B"/>
    <w:rsid w:val="005B35CC"/>
    <w:rsid w:val="005B50E7"/>
    <w:rsid w:val="005C0E8F"/>
    <w:rsid w:val="005C1CC8"/>
    <w:rsid w:val="005D7871"/>
    <w:rsid w:val="005E19B1"/>
    <w:rsid w:val="005E5DC2"/>
    <w:rsid w:val="005F0188"/>
    <w:rsid w:val="005F0A1A"/>
    <w:rsid w:val="005F36CB"/>
    <w:rsid w:val="005F586E"/>
    <w:rsid w:val="00601CC2"/>
    <w:rsid w:val="00602530"/>
    <w:rsid w:val="006038BD"/>
    <w:rsid w:val="006045B0"/>
    <w:rsid w:val="00612EB5"/>
    <w:rsid w:val="00615A74"/>
    <w:rsid w:val="0062589D"/>
    <w:rsid w:val="00626DA6"/>
    <w:rsid w:val="00636742"/>
    <w:rsid w:val="00636A0B"/>
    <w:rsid w:val="006378FA"/>
    <w:rsid w:val="00641854"/>
    <w:rsid w:val="00644237"/>
    <w:rsid w:val="00647982"/>
    <w:rsid w:val="00647D00"/>
    <w:rsid w:val="006509B6"/>
    <w:rsid w:val="006540ED"/>
    <w:rsid w:val="00654270"/>
    <w:rsid w:val="00655914"/>
    <w:rsid w:val="006632DB"/>
    <w:rsid w:val="00664733"/>
    <w:rsid w:val="00665A25"/>
    <w:rsid w:val="006677D4"/>
    <w:rsid w:val="00670E42"/>
    <w:rsid w:val="00671EB0"/>
    <w:rsid w:val="00675D35"/>
    <w:rsid w:val="006763D9"/>
    <w:rsid w:val="00680A1C"/>
    <w:rsid w:val="0068738B"/>
    <w:rsid w:val="006930ED"/>
    <w:rsid w:val="00697E04"/>
    <w:rsid w:val="006A2BF4"/>
    <w:rsid w:val="006B4EE7"/>
    <w:rsid w:val="006C47F3"/>
    <w:rsid w:val="006C6C51"/>
    <w:rsid w:val="006D19B4"/>
    <w:rsid w:val="006D218F"/>
    <w:rsid w:val="006D7015"/>
    <w:rsid w:val="006D7B67"/>
    <w:rsid w:val="006E282B"/>
    <w:rsid w:val="006E37CC"/>
    <w:rsid w:val="006E5D78"/>
    <w:rsid w:val="006E7814"/>
    <w:rsid w:val="006F231A"/>
    <w:rsid w:val="0071799E"/>
    <w:rsid w:val="00723A31"/>
    <w:rsid w:val="00723EAF"/>
    <w:rsid w:val="00731E60"/>
    <w:rsid w:val="00734312"/>
    <w:rsid w:val="00736954"/>
    <w:rsid w:val="007409B6"/>
    <w:rsid w:val="00742B74"/>
    <w:rsid w:val="007461C8"/>
    <w:rsid w:val="007461D5"/>
    <w:rsid w:val="00746D9F"/>
    <w:rsid w:val="00753590"/>
    <w:rsid w:val="00757D8D"/>
    <w:rsid w:val="00760000"/>
    <w:rsid w:val="007639C6"/>
    <w:rsid w:val="00765E79"/>
    <w:rsid w:val="00780E94"/>
    <w:rsid w:val="007863BF"/>
    <w:rsid w:val="0078750B"/>
    <w:rsid w:val="00792A2D"/>
    <w:rsid w:val="007951B6"/>
    <w:rsid w:val="007A6EBD"/>
    <w:rsid w:val="007A6F19"/>
    <w:rsid w:val="007B0AC7"/>
    <w:rsid w:val="007B601D"/>
    <w:rsid w:val="007B669C"/>
    <w:rsid w:val="007B7765"/>
    <w:rsid w:val="007C1730"/>
    <w:rsid w:val="007C2A24"/>
    <w:rsid w:val="007C2AD7"/>
    <w:rsid w:val="007C2EF3"/>
    <w:rsid w:val="007C4A5A"/>
    <w:rsid w:val="007C6296"/>
    <w:rsid w:val="007D1C79"/>
    <w:rsid w:val="007D2F57"/>
    <w:rsid w:val="007D555A"/>
    <w:rsid w:val="007E40D5"/>
    <w:rsid w:val="007E48A6"/>
    <w:rsid w:val="007E68DC"/>
    <w:rsid w:val="007E6C18"/>
    <w:rsid w:val="007F5642"/>
    <w:rsid w:val="007F63A6"/>
    <w:rsid w:val="00802B80"/>
    <w:rsid w:val="008046B1"/>
    <w:rsid w:val="008149D5"/>
    <w:rsid w:val="00814B4D"/>
    <w:rsid w:val="00827281"/>
    <w:rsid w:val="00834A37"/>
    <w:rsid w:val="00841E34"/>
    <w:rsid w:val="00844AE0"/>
    <w:rsid w:val="00847BDF"/>
    <w:rsid w:val="00847C8A"/>
    <w:rsid w:val="00851ACE"/>
    <w:rsid w:val="00853570"/>
    <w:rsid w:val="00854E4B"/>
    <w:rsid w:val="0085587A"/>
    <w:rsid w:val="00861BDC"/>
    <w:rsid w:val="00865E33"/>
    <w:rsid w:val="008664E7"/>
    <w:rsid w:val="00866CC3"/>
    <w:rsid w:val="00874E0F"/>
    <w:rsid w:val="00880556"/>
    <w:rsid w:val="00885D4D"/>
    <w:rsid w:val="0088757A"/>
    <w:rsid w:val="00890493"/>
    <w:rsid w:val="00891C1E"/>
    <w:rsid w:val="00892431"/>
    <w:rsid w:val="00893467"/>
    <w:rsid w:val="00893717"/>
    <w:rsid w:val="00897971"/>
    <w:rsid w:val="008A5A31"/>
    <w:rsid w:val="008A66DB"/>
    <w:rsid w:val="008A7D2B"/>
    <w:rsid w:val="008B3550"/>
    <w:rsid w:val="008B4B84"/>
    <w:rsid w:val="008B60D7"/>
    <w:rsid w:val="008C2BD8"/>
    <w:rsid w:val="008C77CC"/>
    <w:rsid w:val="008D09DD"/>
    <w:rsid w:val="008D1FE4"/>
    <w:rsid w:val="008D28CA"/>
    <w:rsid w:val="008D3C05"/>
    <w:rsid w:val="008D5E88"/>
    <w:rsid w:val="008D609D"/>
    <w:rsid w:val="008E38FC"/>
    <w:rsid w:val="008F4664"/>
    <w:rsid w:val="008F663B"/>
    <w:rsid w:val="00900465"/>
    <w:rsid w:val="00901A16"/>
    <w:rsid w:val="009027C6"/>
    <w:rsid w:val="00903E36"/>
    <w:rsid w:val="0091689F"/>
    <w:rsid w:val="00923311"/>
    <w:rsid w:val="00923870"/>
    <w:rsid w:val="00925276"/>
    <w:rsid w:val="0093155D"/>
    <w:rsid w:val="009321B7"/>
    <w:rsid w:val="009420A1"/>
    <w:rsid w:val="00944100"/>
    <w:rsid w:val="00956A69"/>
    <w:rsid w:val="0095764A"/>
    <w:rsid w:val="0096099A"/>
    <w:rsid w:val="009619F1"/>
    <w:rsid w:val="00963942"/>
    <w:rsid w:val="00965AEF"/>
    <w:rsid w:val="009660E1"/>
    <w:rsid w:val="0098079F"/>
    <w:rsid w:val="00980B55"/>
    <w:rsid w:val="00980CA0"/>
    <w:rsid w:val="00981FAB"/>
    <w:rsid w:val="00982336"/>
    <w:rsid w:val="00982628"/>
    <w:rsid w:val="009862B9"/>
    <w:rsid w:val="00986375"/>
    <w:rsid w:val="00991A84"/>
    <w:rsid w:val="00995F25"/>
    <w:rsid w:val="0099657C"/>
    <w:rsid w:val="009A073D"/>
    <w:rsid w:val="009A4351"/>
    <w:rsid w:val="009A6056"/>
    <w:rsid w:val="009B0609"/>
    <w:rsid w:val="009B2AA6"/>
    <w:rsid w:val="009B5AC7"/>
    <w:rsid w:val="009B659E"/>
    <w:rsid w:val="009B7D4A"/>
    <w:rsid w:val="009C1608"/>
    <w:rsid w:val="009C3999"/>
    <w:rsid w:val="009C56B7"/>
    <w:rsid w:val="009D08A7"/>
    <w:rsid w:val="009D16B4"/>
    <w:rsid w:val="009E02B8"/>
    <w:rsid w:val="009E0365"/>
    <w:rsid w:val="009F2E54"/>
    <w:rsid w:val="009F3149"/>
    <w:rsid w:val="00A031A8"/>
    <w:rsid w:val="00A032CE"/>
    <w:rsid w:val="00A05218"/>
    <w:rsid w:val="00A10179"/>
    <w:rsid w:val="00A10750"/>
    <w:rsid w:val="00A1382D"/>
    <w:rsid w:val="00A17D1D"/>
    <w:rsid w:val="00A22A58"/>
    <w:rsid w:val="00A26697"/>
    <w:rsid w:val="00A34E65"/>
    <w:rsid w:val="00A35942"/>
    <w:rsid w:val="00A3711E"/>
    <w:rsid w:val="00A416AC"/>
    <w:rsid w:val="00A418A8"/>
    <w:rsid w:val="00A45A1B"/>
    <w:rsid w:val="00A503E7"/>
    <w:rsid w:val="00A525DB"/>
    <w:rsid w:val="00A52B74"/>
    <w:rsid w:val="00A56E4B"/>
    <w:rsid w:val="00A6661D"/>
    <w:rsid w:val="00A67990"/>
    <w:rsid w:val="00A75682"/>
    <w:rsid w:val="00A80DA8"/>
    <w:rsid w:val="00A81B25"/>
    <w:rsid w:val="00A854AD"/>
    <w:rsid w:val="00A86294"/>
    <w:rsid w:val="00A93C98"/>
    <w:rsid w:val="00AA5396"/>
    <w:rsid w:val="00AB409F"/>
    <w:rsid w:val="00AB6598"/>
    <w:rsid w:val="00AC6852"/>
    <w:rsid w:val="00AC6F06"/>
    <w:rsid w:val="00AD35D3"/>
    <w:rsid w:val="00AE29F1"/>
    <w:rsid w:val="00AE4962"/>
    <w:rsid w:val="00AF08F7"/>
    <w:rsid w:val="00AF2499"/>
    <w:rsid w:val="00AF281D"/>
    <w:rsid w:val="00AF6DBD"/>
    <w:rsid w:val="00AF7710"/>
    <w:rsid w:val="00B129B0"/>
    <w:rsid w:val="00B17D13"/>
    <w:rsid w:val="00B22198"/>
    <w:rsid w:val="00B25EA8"/>
    <w:rsid w:val="00B3425D"/>
    <w:rsid w:val="00B3508B"/>
    <w:rsid w:val="00B43245"/>
    <w:rsid w:val="00B44025"/>
    <w:rsid w:val="00B449B9"/>
    <w:rsid w:val="00B44F50"/>
    <w:rsid w:val="00B45B2E"/>
    <w:rsid w:val="00B46F42"/>
    <w:rsid w:val="00B47EC7"/>
    <w:rsid w:val="00B53A0D"/>
    <w:rsid w:val="00B56AF3"/>
    <w:rsid w:val="00B73491"/>
    <w:rsid w:val="00B81B11"/>
    <w:rsid w:val="00B8491B"/>
    <w:rsid w:val="00B84E8F"/>
    <w:rsid w:val="00B9097E"/>
    <w:rsid w:val="00B93194"/>
    <w:rsid w:val="00B95057"/>
    <w:rsid w:val="00B95539"/>
    <w:rsid w:val="00B97CA6"/>
    <w:rsid w:val="00BA3312"/>
    <w:rsid w:val="00BA337D"/>
    <w:rsid w:val="00BB6E8D"/>
    <w:rsid w:val="00BC192F"/>
    <w:rsid w:val="00BC4394"/>
    <w:rsid w:val="00BC6222"/>
    <w:rsid w:val="00BE4AAE"/>
    <w:rsid w:val="00BF5876"/>
    <w:rsid w:val="00C01502"/>
    <w:rsid w:val="00C02256"/>
    <w:rsid w:val="00C03042"/>
    <w:rsid w:val="00C10D24"/>
    <w:rsid w:val="00C12120"/>
    <w:rsid w:val="00C12BE3"/>
    <w:rsid w:val="00C16830"/>
    <w:rsid w:val="00C17269"/>
    <w:rsid w:val="00C22068"/>
    <w:rsid w:val="00C273A4"/>
    <w:rsid w:val="00C2785B"/>
    <w:rsid w:val="00C3081D"/>
    <w:rsid w:val="00C3780A"/>
    <w:rsid w:val="00C41E04"/>
    <w:rsid w:val="00C55BDD"/>
    <w:rsid w:val="00C57A29"/>
    <w:rsid w:val="00C65855"/>
    <w:rsid w:val="00C71E4A"/>
    <w:rsid w:val="00C7338B"/>
    <w:rsid w:val="00C805E1"/>
    <w:rsid w:val="00C80740"/>
    <w:rsid w:val="00C8371B"/>
    <w:rsid w:val="00C83A2B"/>
    <w:rsid w:val="00C84E04"/>
    <w:rsid w:val="00C857FB"/>
    <w:rsid w:val="00C92AF5"/>
    <w:rsid w:val="00C96C52"/>
    <w:rsid w:val="00CA527C"/>
    <w:rsid w:val="00CA5FF1"/>
    <w:rsid w:val="00CB2B14"/>
    <w:rsid w:val="00CB355C"/>
    <w:rsid w:val="00CB44C0"/>
    <w:rsid w:val="00CB65C5"/>
    <w:rsid w:val="00CB7B82"/>
    <w:rsid w:val="00CC452A"/>
    <w:rsid w:val="00CC4816"/>
    <w:rsid w:val="00CD3FDA"/>
    <w:rsid w:val="00CE1434"/>
    <w:rsid w:val="00CE17EA"/>
    <w:rsid w:val="00CE3F66"/>
    <w:rsid w:val="00CE457D"/>
    <w:rsid w:val="00CF1E7E"/>
    <w:rsid w:val="00CF1EA3"/>
    <w:rsid w:val="00CF2259"/>
    <w:rsid w:val="00CF243E"/>
    <w:rsid w:val="00CF61BD"/>
    <w:rsid w:val="00D0237D"/>
    <w:rsid w:val="00D10B3B"/>
    <w:rsid w:val="00D113F9"/>
    <w:rsid w:val="00D11BC9"/>
    <w:rsid w:val="00D172BC"/>
    <w:rsid w:val="00D206E2"/>
    <w:rsid w:val="00D215F3"/>
    <w:rsid w:val="00D264A5"/>
    <w:rsid w:val="00D31B22"/>
    <w:rsid w:val="00D321B8"/>
    <w:rsid w:val="00D3709B"/>
    <w:rsid w:val="00D4725E"/>
    <w:rsid w:val="00D472C1"/>
    <w:rsid w:val="00D51E1D"/>
    <w:rsid w:val="00D53D38"/>
    <w:rsid w:val="00D571D9"/>
    <w:rsid w:val="00D61982"/>
    <w:rsid w:val="00D61DFD"/>
    <w:rsid w:val="00D75BD0"/>
    <w:rsid w:val="00D800B5"/>
    <w:rsid w:val="00D8020F"/>
    <w:rsid w:val="00D80E00"/>
    <w:rsid w:val="00D8270F"/>
    <w:rsid w:val="00D83369"/>
    <w:rsid w:val="00D8368D"/>
    <w:rsid w:val="00D84E51"/>
    <w:rsid w:val="00D85338"/>
    <w:rsid w:val="00D868EA"/>
    <w:rsid w:val="00D90C44"/>
    <w:rsid w:val="00DA57DB"/>
    <w:rsid w:val="00DB44DD"/>
    <w:rsid w:val="00DC2AD2"/>
    <w:rsid w:val="00DD416C"/>
    <w:rsid w:val="00DD55A3"/>
    <w:rsid w:val="00DD56CD"/>
    <w:rsid w:val="00DD6462"/>
    <w:rsid w:val="00DE6EE2"/>
    <w:rsid w:val="00DF09C7"/>
    <w:rsid w:val="00DF53FF"/>
    <w:rsid w:val="00E04A4B"/>
    <w:rsid w:val="00E0510A"/>
    <w:rsid w:val="00E06D5D"/>
    <w:rsid w:val="00E07A1D"/>
    <w:rsid w:val="00E146A9"/>
    <w:rsid w:val="00E2407A"/>
    <w:rsid w:val="00E25856"/>
    <w:rsid w:val="00E2757C"/>
    <w:rsid w:val="00E31A0C"/>
    <w:rsid w:val="00E32381"/>
    <w:rsid w:val="00E35B5F"/>
    <w:rsid w:val="00E40551"/>
    <w:rsid w:val="00E53767"/>
    <w:rsid w:val="00E54472"/>
    <w:rsid w:val="00E55E7E"/>
    <w:rsid w:val="00E6440E"/>
    <w:rsid w:val="00E67027"/>
    <w:rsid w:val="00E672E7"/>
    <w:rsid w:val="00E67754"/>
    <w:rsid w:val="00E719EC"/>
    <w:rsid w:val="00E76204"/>
    <w:rsid w:val="00E779C8"/>
    <w:rsid w:val="00E9449D"/>
    <w:rsid w:val="00E952B0"/>
    <w:rsid w:val="00EA4895"/>
    <w:rsid w:val="00EA7831"/>
    <w:rsid w:val="00EA7D5B"/>
    <w:rsid w:val="00EB4F6A"/>
    <w:rsid w:val="00ED24F1"/>
    <w:rsid w:val="00ED4228"/>
    <w:rsid w:val="00EE101E"/>
    <w:rsid w:val="00EE676A"/>
    <w:rsid w:val="00EF3C62"/>
    <w:rsid w:val="00EF4D57"/>
    <w:rsid w:val="00F00254"/>
    <w:rsid w:val="00F02FDC"/>
    <w:rsid w:val="00F038D8"/>
    <w:rsid w:val="00F03C40"/>
    <w:rsid w:val="00F12068"/>
    <w:rsid w:val="00F12E7B"/>
    <w:rsid w:val="00F1416B"/>
    <w:rsid w:val="00F149E7"/>
    <w:rsid w:val="00F163C0"/>
    <w:rsid w:val="00F24E38"/>
    <w:rsid w:val="00F322EA"/>
    <w:rsid w:val="00F3327B"/>
    <w:rsid w:val="00F37DFF"/>
    <w:rsid w:val="00F44C17"/>
    <w:rsid w:val="00F6252C"/>
    <w:rsid w:val="00F734B7"/>
    <w:rsid w:val="00F746AC"/>
    <w:rsid w:val="00F771F6"/>
    <w:rsid w:val="00F83C70"/>
    <w:rsid w:val="00F87B80"/>
    <w:rsid w:val="00F92700"/>
    <w:rsid w:val="00F92CF3"/>
    <w:rsid w:val="00F93007"/>
    <w:rsid w:val="00F95067"/>
    <w:rsid w:val="00FA6E97"/>
    <w:rsid w:val="00FB0C91"/>
    <w:rsid w:val="00FB1A70"/>
    <w:rsid w:val="00FB568C"/>
    <w:rsid w:val="00FC20EE"/>
    <w:rsid w:val="00FD45E0"/>
    <w:rsid w:val="00FD5A5A"/>
    <w:rsid w:val="00FE146C"/>
    <w:rsid w:val="00FE7805"/>
    <w:rsid w:val="00FE78FD"/>
    <w:rsid w:val="00FE7F0A"/>
    <w:rsid w:val="00FF2CA8"/>
    <w:rsid w:val="00FF711E"/>
    <w:rsid w:val="3F5B3964"/>
    <w:rsid w:val="46C4C9A0"/>
    <w:rsid w:val="47AD4E86"/>
    <w:rsid w:val="6B3CA9FC"/>
    <w:rsid w:val="72B17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C449B"/>
  <w15:docId w15:val="{E2875283-23F9-42E0-A287-85EE1C3E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C40"/>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F03C40"/>
    <w:pPr>
      <w:keepNext/>
      <w:keepLines/>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F03C40"/>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41E04"/>
    <w:pPr>
      <w:keepNext/>
      <w:keepLines/>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C40"/>
    <w:rPr>
      <w:rFonts w:ascii="Times New Roman" w:eastAsiaTheme="majorEastAsia" w:hAnsi="Times New Roman" w:cstheme="majorBidi"/>
      <w:b/>
      <w:bCs/>
      <w:sz w:val="24"/>
      <w:szCs w:val="28"/>
      <w:u w:val="single"/>
    </w:rPr>
  </w:style>
  <w:style w:type="character" w:customStyle="1" w:styleId="Heading2Char">
    <w:name w:val="Heading 2 Char"/>
    <w:basedOn w:val="DefaultParagraphFont"/>
    <w:link w:val="Heading2"/>
    <w:uiPriority w:val="9"/>
    <w:rsid w:val="00F03C40"/>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C41E04"/>
    <w:rPr>
      <w:rFonts w:ascii="Times New Roman" w:eastAsiaTheme="majorEastAsia" w:hAnsi="Times New Roman" w:cstheme="majorBidi"/>
      <w:bCs/>
      <w:sz w:val="24"/>
      <w:u w:val="single"/>
    </w:rPr>
  </w:style>
  <w:style w:type="paragraph" w:styleId="Header">
    <w:name w:val="header"/>
    <w:basedOn w:val="Normal"/>
    <w:link w:val="HeaderChar"/>
    <w:uiPriority w:val="99"/>
    <w:unhideWhenUsed/>
    <w:rsid w:val="00CB2B14"/>
    <w:pPr>
      <w:tabs>
        <w:tab w:val="center" w:pos="4513"/>
        <w:tab w:val="right" w:pos="9026"/>
      </w:tabs>
      <w:spacing w:line="240" w:lineRule="auto"/>
    </w:pPr>
  </w:style>
  <w:style w:type="character" w:customStyle="1" w:styleId="HeaderChar">
    <w:name w:val="Header Char"/>
    <w:basedOn w:val="DefaultParagraphFont"/>
    <w:link w:val="Header"/>
    <w:uiPriority w:val="99"/>
    <w:rsid w:val="00CB2B14"/>
    <w:rPr>
      <w:rFonts w:ascii="Times New Roman" w:hAnsi="Times New Roman"/>
      <w:sz w:val="24"/>
    </w:rPr>
  </w:style>
  <w:style w:type="paragraph" w:styleId="Footer">
    <w:name w:val="footer"/>
    <w:basedOn w:val="Normal"/>
    <w:link w:val="FooterChar"/>
    <w:uiPriority w:val="99"/>
    <w:unhideWhenUsed/>
    <w:rsid w:val="00CB2B14"/>
    <w:pPr>
      <w:tabs>
        <w:tab w:val="center" w:pos="4513"/>
        <w:tab w:val="right" w:pos="9026"/>
      </w:tabs>
      <w:spacing w:line="240" w:lineRule="auto"/>
    </w:pPr>
  </w:style>
  <w:style w:type="character" w:customStyle="1" w:styleId="FooterChar">
    <w:name w:val="Footer Char"/>
    <w:basedOn w:val="DefaultParagraphFont"/>
    <w:link w:val="Footer"/>
    <w:uiPriority w:val="99"/>
    <w:rsid w:val="00CB2B14"/>
    <w:rPr>
      <w:rFonts w:ascii="Times New Roman" w:hAnsi="Times New Roman"/>
      <w:sz w:val="24"/>
    </w:rPr>
  </w:style>
  <w:style w:type="character" w:customStyle="1" w:styleId="s7d2086b4">
    <w:name w:val="s7d2086b4"/>
    <w:basedOn w:val="DefaultParagraphFont"/>
    <w:rsid w:val="009B5AC7"/>
  </w:style>
  <w:style w:type="paragraph" w:styleId="ListParagraph">
    <w:name w:val="List Paragraph"/>
    <w:basedOn w:val="Normal"/>
    <w:uiPriority w:val="34"/>
    <w:qFormat/>
    <w:rsid w:val="00853570"/>
    <w:pPr>
      <w:ind w:left="720"/>
      <w:contextualSpacing/>
    </w:pPr>
  </w:style>
  <w:style w:type="character" w:styleId="HTMLTypewriter">
    <w:name w:val="HTML Typewriter"/>
    <w:basedOn w:val="DefaultParagraphFont"/>
    <w:uiPriority w:val="99"/>
    <w:semiHidden/>
    <w:unhideWhenUsed/>
    <w:rsid w:val="007461D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84D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23"/>
    <w:rPr>
      <w:rFonts w:ascii="Tahoma" w:hAnsi="Tahoma" w:cs="Tahoma"/>
      <w:sz w:val="16"/>
      <w:szCs w:val="16"/>
    </w:rPr>
  </w:style>
  <w:style w:type="character" w:customStyle="1" w:styleId="underline1">
    <w:name w:val="underline1"/>
    <w:basedOn w:val="DefaultParagraphFont"/>
    <w:rsid w:val="00AD35D3"/>
    <w:rPr>
      <w:u w:val="single"/>
    </w:rPr>
  </w:style>
  <w:style w:type="character" w:styleId="Emphasis">
    <w:name w:val="Emphasis"/>
    <w:basedOn w:val="DefaultParagraphFont"/>
    <w:uiPriority w:val="20"/>
    <w:qFormat/>
    <w:rsid w:val="00AD35D3"/>
    <w:rPr>
      <w:i/>
      <w:iCs/>
    </w:rPr>
  </w:style>
  <w:style w:type="character" w:customStyle="1" w:styleId="sb8d990e2">
    <w:name w:val="sb8d990e2"/>
    <w:basedOn w:val="DefaultParagraphFont"/>
    <w:rsid w:val="00474851"/>
  </w:style>
  <w:style w:type="character" w:styleId="Strong">
    <w:name w:val="Strong"/>
    <w:basedOn w:val="DefaultParagraphFont"/>
    <w:uiPriority w:val="22"/>
    <w:qFormat/>
    <w:rsid w:val="00474851"/>
    <w:rPr>
      <w:b/>
      <w:bCs/>
    </w:rPr>
  </w:style>
  <w:style w:type="paragraph" w:styleId="FootnoteText">
    <w:name w:val="footnote text"/>
    <w:aliases w:val="Footnote reference,FA Fu,Footnote Text Char Char Char Char Char,Footnote Text Char Char Char Char,Footnote Text Char Char Char,Footnote Text Char Char Char Char Char Char Char Char"/>
    <w:basedOn w:val="Normal"/>
    <w:link w:val="FootnoteTextChar"/>
    <w:uiPriority w:val="99"/>
    <w:unhideWhenUsed/>
    <w:rsid w:val="00474851"/>
    <w:pPr>
      <w:spacing w:line="240" w:lineRule="auto"/>
    </w:pPr>
    <w:rPr>
      <w:rFonts w:asciiTheme="minorHAnsi" w:hAnsiTheme="minorHAnsi"/>
      <w:sz w:val="20"/>
      <w:szCs w:val="20"/>
      <w:lang w:val="en-US"/>
    </w:rPr>
  </w:style>
  <w:style w:type="character" w:customStyle="1" w:styleId="FootnoteTextChar">
    <w:name w:val="Footnote Text Char"/>
    <w:aliases w:val="Footnote reference Char,FA Fu Char,Footnote Text Char Char Char Char Char Char,Footnote Text Char Char Char Char Char1,Footnote Text Char Char Char Char1,Footnote Text Char Char Char Char Char Char Char Char Char"/>
    <w:basedOn w:val="DefaultParagraphFont"/>
    <w:link w:val="FootnoteText"/>
    <w:uiPriority w:val="99"/>
    <w:rsid w:val="00474851"/>
    <w:rPr>
      <w:sz w:val="20"/>
      <w:szCs w:val="20"/>
      <w:lang w:val="en-US"/>
    </w:rPr>
  </w:style>
  <w:style w:type="character" w:styleId="FootnoteReference">
    <w:name w:val="footnote reference"/>
    <w:aliases w:val="4_G,Footnote Refernece,callout,Footnotes refss,Footnote Reference Superscript,Appel note de bas de p.,Footnote Reference Number,BVI fnr, BVI fnr,ftref,Fn Ref,Style 10,Footnote number,Footnote Refernece Char Char Char,Ref"/>
    <w:basedOn w:val="DefaultParagraphFont"/>
    <w:unhideWhenUsed/>
    <w:qFormat/>
    <w:rsid w:val="00474851"/>
    <w:rPr>
      <w:vertAlign w:val="superscript"/>
    </w:rPr>
  </w:style>
  <w:style w:type="paragraph" w:customStyle="1" w:styleId="cmnormal">
    <w:name w:val="cm_normal"/>
    <w:basedOn w:val="Normal"/>
    <w:rsid w:val="00474851"/>
    <w:pPr>
      <w:spacing w:before="100" w:beforeAutospacing="1" w:after="100" w:afterAutospacing="1" w:line="240" w:lineRule="auto"/>
    </w:pPr>
    <w:rPr>
      <w:rFonts w:eastAsia="Times New Roman" w:cs="Times New Roman"/>
      <w:szCs w:val="24"/>
      <w:lang w:eastAsia="en-GB"/>
    </w:rPr>
  </w:style>
  <w:style w:type="character" w:customStyle="1" w:styleId="summarytext">
    <w:name w:val="summarytext"/>
    <w:basedOn w:val="DefaultParagraphFont"/>
    <w:rsid w:val="00474851"/>
  </w:style>
  <w:style w:type="character" w:customStyle="1" w:styleId="textcolumn">
    <w:name w:val="textcolumn"/>
    <w:basedOn w:val="DefaultParagraphFont"/>
    <w:rsid w:val="00474851"/>
  </w:style>
  <w:style w:type="character" w:styleId="Hyperlink">
    <w:name w:val="Hyperlink"/>
    <w:basedOn w:val="DefaultParagraphFont"/>
    <w:uiPriority w:val="99"/>
    <w:unhideWhenUsed/>
    <w:rsid w:val="0051557B"/>
    <w:rPr>
      <w:color w:val="0000FF" w:themeColor="hyperlink"/>
      <w:u w:val="single"/>
    </w:rPr>
  </w:style>
  <w:style w:type="character" w:styleId="UnresolvedMention">
    <w:name w:val="Unresolved Mention"/>
    <w:basedOn w:val="DefaultParagraphFont"/>
    <w:uiPriority w:val="99"/>
    <w:semiHidden/>
    <w:unhideWhenUsed/>
    <w:rsid w:val="00293266"/>
    <w:rPr>
      <w:color w:val="808080"/>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7840">
      <w:bodyDiv w:val="1"/>
      <w:marLeft w:val="313"/>
      <w:marRight w:val="313"/>
      <w:marTop w:val="63"/>
      <w:marBottom w:val="63"/>
      <w:divBdr>
        <w:top w:val="none" w:sz="0" w:space="0" w:color="auto"/>
        <w:left w:val="none" w:sz="0" w:space="0" w:color="auto"/>
        <w:bottom w:val="none" w:sz="0" w:space="0" w:color="auto"/>
        <w:right w:val="none" w:sz="0" w:space="0" w:color="auto"/>
      </w:divBdr>
      <w:divsChild>
        <w:div w:id="1000351403">
          <w:marLeft w:val="0"/>
          <w:marRight w:val="0"/>
          <w:marTop w:val="0"/>
          <w:marBottom w:val="0"/>
          <w:divBdr>
            <w:top w:val="none" w:sz="0" w:space="0" w:color="auto"/>
            <w:left w:val="none" w:sz="0" w:space="0" w:color="auto"/>
            <w:bottom w:val="none" w:sz="0" w:space="0" w:color="auto"/>
            <w:right w:val="none" w:sz="0" w:space="0" w:color="auto"/>
          </w:divBdr>
          <w:divsChild>
            <w:div w:id="1512064216">
              <w:marLeft w:val="0"/>
              <w:marRight w:val="0"/>
              <w:marTop w:val="0"/>
              <w:marBottom w:val="0"/>
              <w:divBdr>
                <w:top w:val="none" w:sz="0" w:space="0" w:color="auto"/>
                <w:left w:val="none" w:sz="0" w:space="0" w:color="auto"/>
                <w:bottom w:val="none" w:sz="0" w:space="0" w:color="auto"/>
                <w:right w:val="none" w:sz="0" w:space="0" w:color="auto"/>
              </w:divBdr>
              <w:divsChild>
                <w:div w:id="1841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83789">
      <w:bodyDiv w:val="1"/>
      <w:marLeft w:val="0"/>
      <w:marRight w:val="0"/>
      <w:marTop w:val="0"/>
      <w:marBottom w:val="0"/>
      <w:divBdr>
        <w:top w:val="none" w:sz="0" w:space="0" w:color="auto"/>
        <w:left w:val="none" w:sz="0" w:space="0" w:color="auto"/>
        <w:bottom w:val="none" w:sz="0" w:space="0" w:color="auto"/>
        <w:right w:val="none" w:sz="0" w:space="0" w:color="auto"/>
      </w:divBdr>
    </w:div>
    <w:div w:id="612984344">
      <w:bodyDiv w:val="1"/>
      <w:marLeft w:val="313"/>
      <w:marRight w:val="313"/>
      <w:marTop w:val="63"/>
      <w:marBottom w:val="63"/>
      <w:divBdr>
        <w:top w:val="none" w:sz="0" w:space="0" w:color="auto"/>
        <w:left w:val="none" w:sz="0" w:space="0" w:color="auto"/>
        <w:bottom w:val="none" w:sz="0" w:space="0" w:color="auto"/>
        <w:right w:val="none" w:sz="0" w:space="0" w:color="auto"/>
      </w:divBdr>
      <w:divsChild>
        <w:div w:id="1506508193">
          <w:marLeft w:val="0"/>
          <w:marRight w:val="0"/>
          <w:marTop w:val="0"/>
          <w:marBottom w:val="0"/>
          <w:divBdr>
            <w:top w:val="none" w:sz="0" w:space="0" w:color="auto"/>
            <w:left w:val="none" w:sz="0" w:space="0" w:color="auto"/>
            <w:bottom w:val="none" w:sz="0" w:space="0" w:color="auto"/>
            <w:right w:val="none" w:sz="0" w:space="0" w:color="auto"/>
          </w:divBdr>
          <w:divsChild>
            <w:div w:id="760218269">
              <w:marLeft w:val="0"/>
              <w:marRight w:val="0"/>
              <w:marTop w:val="0"/>
              <w:marBottom w:val="0"/>
              <w:divBdr>
                <w:top w:val="none" w:sz="0" w:space="0" w:color="auto"/>
                <w:left w:val="none" w:sz="0" w:space="0" w:color="auto"/>
                <w:bottom w:val="none" w:sz="0" w:space="0" w:color="auto"/>
                <w:right w:val="none" w:sz="0" w:space="0" w:color="auto"/>
              </w:divBdr>
              <w:divsChild>
                <w:div w:id="17321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7121">
      <w:bodyDiv w:val="1"/>
      <w:marLeft w:val="313"/>
      <w:marRight w:val="313"/>
      <w:marTop w:val="63"/>
      <w:marBottom w:val="63"/>
      <w:divBdr>
        <w:top w:val="none" w:sz="0" w:space="0" w:color="auto"/>
        <w:left w:val="none" w:sz="0" w:space="0" w:color="auto"/>
        <w:bottom w:val="none" w:sz="0" w:space="0" w:color="auto"/>
        <w:right w:val="none" w:sz="0" w:space="0" w:color="auto"/>
      </w:divBdr>
      <w:divsChild>
        <w:div w:id="832373311">
          <w:marLeft w:val="0"/>
          <w:marRight w:val="0"/>
          <w:marTop w:val="0"/>
          <w:marBottom w:val="0"/>
          <w:divBdr>
            <w:top w:val="none" w:sz="0" w:space="0" w:color="auto"/>
            <w:left w:val="none" w:sz="0" w:space="0" w:color="auto"/>
            <w:bottom w:val="none" w:sz="0" w:space="0" w:color="auto"/>
            <w:right w:val="none" w:sz="0" w:space="0" w:color="auto"/>
          </w:divBdr>
          <w:divsChild>
            <w:div w:id="1472358318">
              <w:marLeft w:val="0"/>
              <w:marRight w:val="0"/>
              <w:marTop w:val="0"/>
              <w:marBottom w:val="0"/>
              <w:divBdr>
                <w:top w:val="none" w:sz="0" w:space="0" w:color="auto"/>
                <w:left w:val="none" w:sz="0" w:space="0" w:color="auto"/>
                <w:bottom w:val="none" w:sz="0" w:space="0" w:color="auto"/>
                <w:right w:val="none" w:sz="0" w:space="0" w:color="auto"/>
              </w:divBdr>
              <w:divsChild>
                <w:div w:id="4129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8420">
      <w:bodyDiv w:val="1"/>
      <w:marLeft w:val="0"/>
      <w:marRight w:val="0"/>
      <w:marTop w:val="0"/>
      <w:marBottom w:val="0"/>
      <w:divBdr>
        <w:top w:val="none" w:sz="0" w:space="0" w:color="auto"/>
        <w:left w:val="none" w:sz="0" w:space="0" w:color="auto"/>
        <w:bottom w:val="none" w:sz="0" w:space="0" w:color="auto"/>
        <w:right w:val="none" w:sz="0" w:space="0" w:color="auto"/>
      </w:divBdr>
    </w:div>
    <w:div w:id="1244993841">
      <w:bodyDiv w:val="1"/>
      <w:marLeft w:val="0"/>
      <w:marRight w:val="0"/>
      <w:marTop w:val="0"/>
      <w:marBottom w:val="0"/>
      <w:divBdr>
        <w:top w:val="none" w:sz="0" w:space="0" w:color="auto"/>
        <w:left w:val="none" w:sz="0" w:space="0" w:color="auto"/>
        <w:bottom w:val="none" w:sz="0" w:space="0" w:color="auto"/>
        <w:right w:val="none" w:sz="0" w:space="0" w:color="auto"/>
      </w:divBdr>
    </w:div>
    <w:div w:id="1344700396">
      <w:bodyDiv w:val="1"/>
      <w:marLeft w:val="0"/>
      <w:marRight w:val="0"/>
      <w:marTop w:val="0"/>
      <w:marBottom w:val="0"/>
      <w:divBdr>
        <w:top w:val="none" w:sz="0" w:space="0" w:color="auto"/>
        <w:left w:val="none" w:sz="0" w:space="0" w:color="auto"/>
        <w:bottom w:val="none" w:sz="0" w:space="0" w:color="auto"/>
        <w:right w:val="none" w:sz="0" w:space="0" w:color="auto"/>
      </w:divBdr>
    </w:div>
    <w:div w:id="1537083108">
      <w:bodyDiv w:val="1"/>
      <w:marLeft w:val="0"/>
      <w:marRight w:val="0"/>
      <w:marTop w:val="0"/>
      <w:marBottom w:val="0"/>
      <w:divBdr>
        <w:top w:val="none" w:sz="0" w:space="0" w:color="auto"/>
        <w:left w:val="none" w:sz="0" w:space="0" w:color="auto"/>
        <w:bottom w:val="none" w:sz="0" w:space="0" w:color="auto"/>
        <w:right w:val="none" w:sz="0" w:space="0" w:color="auto"/>
      </w:divBdr>
    </w:div>
    <w:div w:id="1734309853">
      <w:bodyDiv w:val="1"/>
      <w:marLeft w:val="0"/>
      <w:marRight w:val="0"/>
      <w:marTop w:val="0"/>
      <w:marBottom w:val="0"/>
      <w:divBdr>
        <w:top w:val="none" w:sz="0" w:space="0" w:color="auto"/>
        <w:left w:val="none" w:sz="0" w:space="0" w:color="auto"/>
        <w:bottom w:val="none" w:sz="0" w:space="0" w:color="auto"/>
        <w:right w:val="none" w:sz="0" w:space="0" w:color="auto"/>
      </w:divBdr>
    </w:div>
    <w:div w:id="1769883571">
      <w:bodyDiv w:val="1"/>
      <w:marLeft w:val="0"/>
      <w:marRight w:val="0"/>
      <w:marTop w:val="0"/>
      <w:marBottom w:val="0"/>
      <w:divBdr>
        <w:top w:val="none" w:sz="0" w:space="0" w:color="auto"/>
        <w:left w:val="none" w:sz="0" w:space="0" w:color="auto"/>
        <w:bottom w:val="none" w:sz="0" w:space="0" w:color="auto"/>
        <w:right w:val="none" w:sz="0" w:space="0" w:color="auto"/>
      </w:divBdr>
    </w:div>
    <w:div w:id="2015691545">
      <w:bodyDiv w:val="1"/>
      <w:marLeft w:val="0"/>
      <w:marRight w:val="0"/>
      <w:marTop w:val="0"/>
      <w:marBottom w:val="0"/>
      <w:divBdr>
        <w:top w:val="none" w:sz="0" w:space="0" w:color="auto"/>
        <w:left w:val="none" w:sz="0" w:space="0" w:color="auto"/>
        <w:bottom w:val="none" w:sz="0" w:space="0" w:color="auto"/>
        <w:right w:val="none" w:sz="0" w:space="0" w:color="auto"/>
      </w:divBdr>
    </w:div>
    <w:div w:id="213517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rch.coe.int/cm/Pages/result_details.aspx?Reference=CM/Rec(2011)1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mdac.info/en/14/12/2012/croatia-lifts-voting-prohibition-for-people-with-disabilities" TargetMode="External"/><Relationship Id="rId2" Type="http://schemas.openxmlformats.org/officeDocument/2006/relationships/hyperlink" Target="https://jak.ppke.hu/uploads/articles/12332/file/Gurbai_tezisek_final_ENG.pdf" TargetMode="External"/><Relationship Id="rId1" Type="http://schemas.openxmlformats.org/officeDocument/2006/relationships/hyperlink" Target="http://www.google.co.uk/url?sa=t&amp;rct=j&amp;q=&amp;esrc=s&amp;source=web&amp;cd=2&amp;ved=0CCcQFjABahUKEwj-4-vFrOzGAhUqI9sKHWmeDNE&amp;url=http%3A%2F%2Fwww.ohchr.org%2FDocuments%2FHRBodies%2FCCPR%2FGConArticle9%2FSubmissions%2FSRDisability.doc&amp;ei=k0uuVb7OPKrG7AbpvLKIDQ&amp;usg=AFQjCNE" TargetMode="External"/><Relationship Id="rId4" Type="http://schemas.openxmlformats.org/officeDocument/2006/relationships/hyperlink" Target="http://justice.gov.md/public/files/transparenta_in_procesul_decizional/coordonare/2015/iulie/Proiect_24.07.2015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518B22F4CBE14BB503DFE0E8687BFA" ma:contentTypeVersion="8" ma:contentTypeDescription="Create a new document." ma:contentTypeScope="" ma:versionID="47a15914c06caa2403d06d79ad21b53b">
  <xsd:schema xmlns:xsd="http://www.w3.org/2001/XMLSchema" xmlns:xs="http://www.w3.org/2001/XMLSchema" xmlns:p="http://schemas.microsoft.com/office/2006/metadata/properties" xmlns:ns2="b8f99c06-dc64-4ad0-a4b1-77603161b6e0" xmlns:ns3="062b1ad5-4459-416f-8db8-c45e949296e9" targetNamespace="http://schemas.microsoft.com/office/2006/metadata/properties" ma:root="true" ma:fieldsID="e039de84eb9e6e9d3758e60acef882b7" ns2:_="" ns3:_="">
    <xsd:import namespace="b8f99c06-dc64-4ad0-a4b1-77603161b6e0"/>
    <xsd:import namespace="062b1ad5-4459-416f-8db8-c45e949296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99c06-dc64-4ad0-a4b1-77603161b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b1ad5-4459-416f-8db8-c45e949296e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7A461-5A8C-4E2E-9705-0B33E47340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2CB84E-22F9-4B93-959A-DA96D3303D8E}">
  <ds:schemaRefs>
    <ds:schemaRef ds:uri="http://schemas.microsoft.com/sharepoint/v3/contenttype/forms"/>
  </ds:schemaRefs>
</ds:datastoreItem>
</file>

<file path=customXml/itemProps3.xml><?xml version="1.0" encoding="utf-8"?>
<ds:datastoreItem xmlns:ds="http://schemas.openxmlformats.org/officeDocument/2006/customXml" ds:itemID="{C0039DE0-6F61-48D9-AA65-2E1E86509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99c06-dc64-4ad0-a4b1-77603161b6e0"/>
    <ds:schemaRef ds:uri="062b1ad5-4459-416f-8db8-c45e94929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34969-EF21-44DA-95C9-3EED2F33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4630</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cj14</dc:creator>
  <cp:lastModifiedBy>Erzsébet Oláh</cp:lastModifiedBy>
  <cp:revision>2</cp:revision>
  <cp:lastPrinted>2018-01-16T18:14:00Z</cp:lastPrinted>
  <dcterms:created xsi:type="dcterms:W3CDTF">2018-02-08T09:42:00Z</dcterms:created>
  <dcterms:modified xsi:type="dcterms:W3CDTF">2018-02-08T09:42:00Z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0x01010014518B22F4CBE14BB503DFE0E8687BFA</vt:lpwstr>
  </property>
</Properties>
</file>